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16AA" w14:textId="77777777" w:rsidR="0073026A" w:rsidRPr="0073026A" w:rsidRDefault="00C105EE" w:rsidP="0073026A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05EE">
        <w:rPr>
          <w:rFonts w:ascii="Times New Roman" w:hAnsi="Times New Roman" w:cs="Times New Roman"/>
          <w:b/>
          <w:color w:val="000000" w:themeColor="text1"/>
        </w:rPr>
        <w:t xml:space="preserve">Тематический план самостоятельной работы студента </w:t>
      </w:r>
    </w:p>
    <w:p w14:paraId="5A41788F" w14:textId="77777777" w:rsidR="0073026A" w:rsidRDefault="0073026A" w:rsidP="0073026A">
      <w:pPr>
        <w:pStyle w:val="3"/>
        <w:spacing w:after="0"/>
        <w:jc w:val="center"/>
      </w:pPr>
      <w:r>
        <w:t>по дисциплине «Психофармакология»</w:t>
      </w:r>
    </w:p>
    <w:p w14:paraId="1CBAE915" w14:textId="77777777" w:rsidR="0073026A" w:rsidRDefault="0073026A" w:rsidP="0073026A">
      <w:pPr>
        <w:pStyle w:val="3"/>
        <w:spacing w:after="0"/>
        <w:jc w:val="center"/>
      </w:pPr>
      <w:r>
        <w:t>для обучающихся</w:t>
      </w:r>
    </w:p>
    <w:p w14:paraId="4ED66389" w14:textId="0D04300B" w:rsidR="00186F77" w:rsidRPr="00186F77" w:rsidRDefault="00186F77" w:rsidP="00186F77">
      <w:pPr>
        <w:pStyle w:val="ac"/>
        <w:jc w:val="center"/>
        <w:rPr>
          <w:rFonts w:ascii="TimesNewRomanPSMT" w:hAnsi="TimesNewRomanPSMT"/>
          <w:b/>
          <w:bCs/>
        </w:rPr>
      </w:pPr>
      <w:r w:rsidRPr="000C4464">
        <w:rPr>
          <w:rFonts w:ascii="TimesNewRomanPSMT" w:hAnsi="TimesNewRomanPSMT"/>
          <w:b/>
          <w:bCs/>
        </w:rPr>
        <w:t>специалитет</w:t>
      </w:r>
      <w:r>
        <w:rPr>
          <w:rFonts w:ascii="TimesNewRomanPSMT" w:hAnsi="TimesNewRomanPSMT"/>
          <w:b/>
          <w:bCs/>
        </w:rPr>
        <w:t>а</w:t>
      </w:r>
      <w:r w:rsidRPr="000C4464">
        <w:rPr>
          <w:rFonts w:ascii="TimesNewRomanPSMT" w:hAnsi="TimesNewRomanPSMT"/>
          <w:b/>
          <w:bCs/>
        </w:rPr>
        <w:t xml:space="preserve"> по </w:t>
      </w:r>
      <w:r>
        <w:rPr>
          <w:rFonts w:ascii="TimesNewRomanPSMT" w:hAnsi="TimesNewRomanPSMT"/>
          <w:b/>
          <w:bCs/>
        </w:rPr>
        <w:t xml:space="preserve">специальности </w:t>
      </w:r>
      <w:r w:rsidRPr="000C4464">
        <w:rPr>
          <w:rFonts w:ascii="TimesNewRomanPSMT" w:hAnsi="TimesNewRomanPSMT"/>
          <w:b/>
          <w:bCs/>
        </w:rPr>
        <w:t xml:space="preserve">37.05.01 Клиническая психология, направленность Патопсихологическая диагностика и психотерапия </w:t>
      </w:r>
      <w:r w:rsidRPr="00A74C70">
        <w:rPr>
          <w:b/>
        </w:rPr>
        <w:t>на 20</w:t>
      </w:r>
      <w:r>
        <w:rPr>
          <w:b/>
        </w:rPr>
        <w:t>23</w:t>
      </w:r>
      <w:r w:rsidRPr="00A74C70">
        <w:rPr>
          <w:b/>
        </w:rPr>
        <w:t>-20</w:t>
      </w:r>
      <w:r>
        <w:rPr>
          <w:b/>
        </w:rPr>
        <w:t>24</w:t>
      </w:r>
      <w:r w:rsidRPr="00A74C70">
        <w:rPr>
          <w:b/>
        </w:rPr>
        <w:t xml:space="preserve"> учебный год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1"/>
        <w:gridCol w:w="1416"/>
      </w:tblGrid>
      <w:tr w:rsidR="0073026A" w:rsidRPr="0073026A" w14:paraId="7AEBA170" w14:textId="77777777" w:rsidTr="00186F7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79A5E" w14:textId="77777777" w:rsidR="0073026A" w:rsidRPr="0073026A" w:rsidRDefault="0073026A" w:rsidP="0073026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9E36A" w14:textId="77777777" w:rsidR="0073026A" w:rsidRPr="0073026A" w:rsidRDefault="0073026A" w:rsidP="0073026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6A">
              <w:rPr>
                <w:rFonts w:ascii="Times New Roman" w:hAnsi="Times New Roman"/>
                <w:b/>
                <w:bCs/>
                <w:sz w:val="24"/>
                <w:szCs w:val="24"/>
              </w:rPr>
              <w:t>Темы самостоятельной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61620" w14:textId="77777777" w:rsidR="0073026A" w:rsidRPr="0073026A" w:rsidRDefault="0073026A" w:rsidP="0073026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26A">
              <w:rPr>
                <w:rFonts w:ascii="Times New Roman" w:hAnsi="Times New Roman"/>
                <w:b/>
                <w:bCs/>
                <w:sz w:val="24"/>
                <w:szCs w:val="24"/>
              </w:rPr>
              <w:t>Часы (академ.)</w:t>
            </w:r>
          </w:p>
        </w:tc>
      </w:tr>
      <w:tr w:rsidR="0073026A" w:rsidRPr="00F7671F" w14:paraId="572956ED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C9D4165" w14:textId="77777777" w:rsidR="0073026A" w:rsidRPr="00F7671F" w:rsidRDefault="0073026A" w:rsidP="0073026A">
            <w:pPr>
              <w:pStyle w:val="a8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7671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7E29555" w14:textId="48364DB5" w:rsidR="0073026A" w:rsidRPr="00F7671F" w:rsidRDefault="0073026A" w:rsidP="007D4D2C">
            <w:pPr>
              <w:pStyle w:val="ad"/>
              <w:spacing w:before="40"/>
              <w:ind w:hanging="19"/>
              <w:jc w:val="both"/>
              <w:rPr>
                <w:lang w:bidi="he-IL"/>
              </w:rPr>
            </w:pPr>
            <w:r w:rsidRPr="00F7671F">
              <w:rPr>
                <w:b/>
              </w:rPr>
              <w:t>Введение в психофармакологию</w:t>
            </w:r>
            <w:r w:rsidRPr="00F7671F">
              <w:t xml:space="preserve">. </w:t>
            </w:r>
            <w:r w:rsidRPr="00F7671F">
              <w:rPr>
                <w:b/>
              </w:rPr>
              <w:t>Основные положения об обращении лекарственных средств. Правила выписывания рецептов</w:t>
            </w:r>
            <w:r w:rsidRPr="00F7671F">
              <w:t>.</w:t>
            </w:r>
            <w:r>
              <w:rPr>
                <w:b/>
                <w:vertAlign w:val="superscript"/>
              </w:rPr>
              <w:t xml:space="preserve"> </w:t>
            </w:r>
            <w:r w:rsidRPr="00F7671F">
              <w:t xml:space="preserve"> </w:t>
            </w:r>
            <w:r w:rsidRPr="00F7671F">
              <w:rPr>
                <w:lang w:bidi="he-IL"/>
              </w:rPr>
              <w:t>Место психофармакологии среди других медико-биологических наук, цели и задачи психофармакологии. Федеральное руководство по использованию лекарственных средств (формулярная система). Источники фармакологической информации. Федеральный закон Российской Федерации «Об обращении лекарственных средств.</w:t>
            </w:r>
            <w:r>
              <w:rPr>
                <w:lang w:bidi="he-IL"/>
              </w:rPr>
              <w:t>»</w:t>
            </w:r>
            <w:r w:rsidRPr="00F7671F">
              <w:rPr>
                <w:lang w:bidi="he-IL"/>
              </w:rPr>
              <w:t xml:space="preserve"> </w:t>
            </w:r>
            <w:r w:rsidR="009D253E" w:rsidRPr="009D253E">
              <w:rPr>
                <w:lang w:bidi="he-IL"/>
              </w:rPr>
              <w:t>Государственная фармакопея</w:t>
            </w:r>
            <w:r w:rsidR="009D253E" w:rsidRPr="00F7671F">
              <w:rPr>
                <w:lang w:bidi="he-IL"/>
              </w:rPr>
              <w:t xml:space="preserve"> </w:t>
            </w:r>
            <w:r w:rsidR="00803745" w:rsidRPr="00803745">
              <w:rPr>
                <w:lang w:bidi="he-IL"/>
              </w:rPr>
              <w:t>Документы, регламентирующие оборот лекарственных средств. Правила хранения и использования лекарственных средств</w:t>
            </w:r>
            <w:r w:rsidR="00803745" w:rsidRPr="00E728E7">
              <w:rPr>
                <w:sz w:val="18"/>
                <w:lang w:bidi="he-IL"/>
              </w:rPr>
              <w:t>.</w:t>
            </w:r>
            <w:r w:rsidR="00803745">
              <w:rPr>
                <w:sz w:val="18"/>
                <w:lang w:bidi="he-IL"/>
              </w:rPr>
              <w:t xml:space="preserve"> </w:t>
            </w:r>
            <w:r w:rsidRPr="00F7671F">
              <w:rPr>
                <w:lang w:bidi="he-IL"/>
              </w:rPr>
              <w:t>Методические особенности и общие подходы к лечению больных с психическими расстройствами 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A87CF52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F7671F" w14:paraId="7F374E95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7F8AFA4" w14:textId="77777777" w:rsidR="0073026A" w:rsidRPr="00F7671F" w:rsidRDefault="0073026A" w:rsidP="0073026A">
            <w:pPr>
              <w:pStyle w:val="a8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7671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A7715D9" w14:textId="77777777" w:rsidR="006A4D35" w:rsidRPr="006A4D35" w:rsidRDefault="0073026A" w:rsidP="006A4D35">
            <w:pPr>
              <w:pStyle w:val="ad"/>
              <w:ind w:hanging="17"/>
              <w:jc w:val="both"/>
              <w:rPr>
                <w:lang w:bidi="he-IL"/>
              </w:rPr>
            </w:pPr>
            <w:r w:rsidRPr="00F7671F">
              <w:rPr>
                <w:b/>
              </w:rPr>
              <w:t xml:space="preserve">Классификация лекарственных средств, применяемых при лечении нервно-психических заболеваний. Виды фармакотерапии. </w:t>
            </w:r>
            <w:r w:rsidRPr="00F7671F">
              <w:t>Основные принципы классификации психотропных средств. Понятие о патогенетической, этиотропной, симптоматической, заместительной и профилактической фармакотерапии.</w:t>
            </w:r>
            <w:r w:rsidRPr="00F7671F">
              <w:rPr>
                <w:b/>
              </w:rPr>
              <w:t xml:space="preserve"> </w:t>
            </w:r>
            <w:r w:rsidRPr="00F7671F">
              <w:rPr>
                <w:lang w:bidi="he-IL"/>
              </w:rPr>
              <w:t xml:space="preserve">Основные </w:t>
            </w:r>
            <w:r w:rsidR="00803745">
              <w:rPr>
                <w:lang w:bidi="he-IL"/>
              </w:rPr>
              <w:t>принципы дока</w:t>
            </w:r>
            <w:r w:rsidR="00957BFF">
              <w:rPr>
                <w:lang w:bidi="he-IL"/>
              </w:rPr>
              <w:t xml:space="preserve">зательной медицины, уровни </w:t>
            </w:r>
            <w:proofErr w:type="spellStart"/>
            <w:r w:rsidR="00957BFF">
              <w:rPr>
                <w:lang w:bidi="he-IL"/>
              </w:rPr>
              <w:t>доcтоверности</w:t>
            </w:r>
            <w:proofErr w:type="spellEnd"/>
            <w:r w:rsidR="006A4D35" w:rsidRPr="00E728E7">
              <w:rPr>
                <w:sz w:val="18"/>
                <w:lang w:bidi="he-IL"/>
              </w:rPr>
              <w:t xml:space="preserve"> </w:t>
            </w:r>
            <w:r w:rsidR="006A4D35" w:rsidRPr="006A4D35">
              <w:rPr>
                <w:lang w:bidi="he-IL"/>
              </w:rPr>
              <w:t xml:space="preserve">эффективности лекарственных средств. </w:t>
            </w:r>
          </w:p>
          <w:p w14:paraId="42122C9E" w14:textId="77777777" w:rsidR="00803745" w:rsidRPr="00F7671F" w:rsidRDefault="00803745" w:rsidP="0093308B">
            <w:pPr>
              <w:pStyle w:val="ad"/>
              <w:spacing w:before="4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E466FAE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F7671F" w14:paraId="7D3809E5" w14:textId="77777777" w:rsidTr="00186F77">
        <w:trPr>
          <w:trHeight w:val="2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7CEAB4F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3.</w:t>
            </w:r>
          </w:p>
        </w:tc>
        <w:tc>
          <w:tcPr>
            <w:tcW w:w="72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8EAEDF" w14:textId="789EB320" w:rsidR="0073026A" w:rsidRPr="00F7671F" w:rsidRDefault="0073026A" w:rsidP="0073026A">
            <w:pPr>
              <w:pStyle w:val="ad"/>
              <w:spacing w:before="40"/>
              <w:jc w:val="both"/>
            </w:pPr>
            <w:r w:rsidRPr="00F7671F">
              <w:rPr>
                <w:b/>
              </w:rPr>
              <w:t>Общая фармакология. Фармакокинетика</w:t>
            </w:r>
            <w:r>
              <w:rPr>
                <w:b/>
              </w:rPr>
              <w:t>.</w:t>
            </w:r>
            <w:r w:rsidRPr="00F7671F">
              <w:rPr>
                <w:b/>
              </w:rPr>
              <w:t xml:space="preserve"> </w:t>
            </w:r>
            <w:r w:rsidRPr="00F7671F">
              <w:rPr>
                <w:lang w:bidi="he-IL"/>
              </w:rPr>
              <w:t>Основные фармакокинетические параметры.</w:t>
            </w:r>
            <w:r>
              <w:rPr>
                <w:lang w:bidi="he-IL"/>
              </w:rPr>
              <w:t xml:space="preserve"> </w:t>
            </w:r>
            <w:r w:rsidRPr="00F7671F">
              <w:rPr>
                <w:lang w:bidi="he-IL"/>
              </w:rPr>
              <w:t xml:space="preserve">Пути введения лекарственных средств. Механизмы транспорта лекарственных средств через мембраны. Распределение лекарственных средств в организме, понятие о биологических барьерах. Депонирование лекарственных средств. </w:t>
            </w:r>
            <w:proofErr w:type="spellStart"/>
            <w:r w:rsidRPr="00F7671F">
              <w:rPr>
                <w:lang w:bidi="he-IL"/>
              </w:rPr>
              <w:t>Биотрансформация</w:t>
            </w:r>
            <w:proofErr w:type="spellEnd"/>
            <w:r w:rsidRPr="00F7671F">
              <w:rPr>
                <w:lang w:bidi="he-IL"/>
              </w:rPr>
              <w:t xml:space="preserve"> лекарственных средств в организме. Пути выведения лекарственных средств.</w:t>
            </w:r>
            <w:r w:rsidRPr="00F7671F">
              <w:rPr>
                <w:vertAlign w:val="superscript"/>
              </w:rPr>
              <w:t xml:space="preserve"> </w:t>
            </w:r>
            <w:r w:rsidRPr="00F7671F">
              <w:rPr>
                <w:lang w:bidi="he-IL"/>
              </w:rPr>
              <w:t xml:space="preserve">  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2D76B30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F7671F" w14:paraId="5BC02961" w14:textId="77777777" w:rsidTr="00186F77">
        <w:trPr>
          <w:trHeight w:val="2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9E080E3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4.</w:t>
            </w:r>
          </w:p>
        </w:tc>
        <w:tc>
          <w:tcPr>
            <w:tcW w:w="72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4BD777A" w14:textId="013ED87D" w:rsidR="0073026A" w:rsidRPr="00F7671F" w:rsidRDefault="0073026A" w:rsidP="0093308B">
            <w:pPr>
              <w:pStyle w:val="ad"/>
              <w:spacing w:before="40"/>
              <w:jc w:val="both"/>
              <w:rPr>
                <w:b/>
              </w:rPr>
            </w:pPr>
            <w:r w:rsidRPr="00F7671F">
              <w:rPr>
                <w:b/>
              </w:rPr>
              <w:t xml:space="preserve">Общая фармакология. </w:t>
            </w:r>
            <w:proofErr w:type="spellStart"/>
            <w:r w:rsidRPr="00F7671F">
              <w:rPr>
                <w:b/>
              </w:rPr>
              <w:t>Фармакодинамика</w:t>
            </w:r>
            <w:proofErr w:type="spellEnd"/>
            <w:r w:rsidRPr="00F7671F">
              <w:rPr>
                <w:b/>
              </w:rPr>
              <w:t>.</w:t>
            </w:r>
            <w:r w:rsidRPr="00F7671F">
              <w:rPr>
                <w:lang w:bidi="he-IL"/>
              </w:rPr>
              <w:t xml:space="preserve"> Основные понятия </w:t>
            </w:r>
            <w:proofErr w:type="spellStart"/>
            <w:r w:rsidRPr="00F7671F">
              <w:rPr>
                <w:lang w:bidi="he-IL"/>
              </w:rPr>
              <w:t>фармакодинамики</w:t>
            </w:r>
            <w:proofErr w:type="spellEnd"/>
            <w:r w:rsidRPr="00F7671F">
              <w:rPr>
                <w:lang w:bidi="he-IL"/>
              </w:rPr>
              <w:t>. Основные мишени действия лекарственных средств. Понятие о рецепторных механизмах действия, типы рецепторов, принципы передачи рецепторного сигнала. Основные представления о механизмах  действия лекарственных средств. Значение индивидуальных особенностей организма. Роль генетиче</w:t>
            </w:r>
            <w:r w:rsidRPr="00F7671F">
              <w:rPr>
                <w:lang w:bidi="he-IL"/>
              </w:rPr>
              <w:softHyphen/>
              <w:t xml:space="preserve">ских факторов. </w:t>
            </w:r>
            <w:proofErr w:type="spellStart"/>
            <w:r w:rsidRPr="00F7671F">
              <w:rPr>
                <w:lang w:bidi="he-IL"/>
              </w:rPr>
              <w:t>Хронофармакология</w:t>
            </w:r>
            <w:proofErr w:type="spellEnd"/>
            <w:r w:rsidRPr="00F7671F">
              <w:rPr>
                <w:lang w:bidi="he-IL"/>
              </w:rPr>
              <w:t>. Генотерапия.</w:t>
            </w:r>
            <w:r>
              <w:rPr>
                <w:lang w:bidi="he-IL"/>
              </w:rPr>
              <w:t xml:space="preserve"> </w:t>
            </w:r>
            <w:r w:rsidRPr="00F7671F">
              <w:rPr>
                <w:lang w:bidi="he-IL"/>
              </w:rPr>
              <w:t xml:space="preserve">Зависимость </w:t>
            </w:r>
            <w:r w:rsidRPr="00F7671F">
              <w:rPr>
                <w:lang w:bidi="he-IL"/>
              </w:rPr>
              <w:lastRenderedPageBreak/>
              <w:t xml:space="preserve">фармакотерапевтического эффекта от свойств лекарственных </w:t>
            </w:r>
            <w:r w:rsidRPr="00F7671F">
              <w:rPr>
                <w:bCs/>
                <w:lang w:bidi="he-IL"/>
              </w:rPr>
              <w:t>средств</w:t>
            </w:r>
            <w:r w:rsidRPr="00F7671F">
              <w:rPr>
                <w:lang w:bidi="he-IL"/>
              </w:rPr>
              <w:t xml:space="preserve"> и их применения</w:t>
            </w:r>
            <w:r w:rsidRPr="00F7671F">
              <w:rPr>
                <w:b/>
                <w:lang w:bidi="he-IL"/>
              </w:rPr>
              <w:t>.</w:t>
            </w:r>
            <w:r w:rsidRPr="00F7671F">
              <w:rPr>
                <w:lang w:bidi="he-IL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39D7C8E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lastRenderedPageBreak/>
              <w:t>3</w:t>
            </w:r>
          </w:p>
        </w:tc>
      </w:tr>
      <w:tr w:rsidR="0073026A" w:rsidRPr="00F7671F" w14:paraId="10B5B1A2" w14:textId="77777777" w:rsidTr="00186F77">
        <w:trPr>
          <w:trHeight w:val="2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6004740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5.</w:t>
            </w:r>
          </w:p>
        </w:tc>
        <w:tc>
          <w:tcPr>
            <w:tcW w:w="72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3BA5A5D" w14:textId="2972507B" w:rsidR="0073026A" w:rsidRPr="00F7671F" w:rsidRDefault="0073026A" w:rsidP="0073026A">
            <w:pPr>
              <w:pStyle w:val="ad"/>
              <w:spacing w:before="40"/>
              <w:jc w:val="both"/>
              <w:rPr>
                <w:b/>
              </w:rPr>
            </w:pPr>
            <w:proofErr w:type="spellStart"/>
            <w:r w:rsidRPr="00F7671F">
              <w:rPr>
                <w:b/>
              </w:rPr>
              <w:t>Нейротропные</w:t>
            </w:r>
            <w:proofErr w:type="spellEnd"/>
            <w:r w:rsidRPr="00F7671F">
              <w:rPr>
                <w:b/>
              </w:rPr>
              <w:t xml:space="preserve"> средства периферического действия.</w:t>
            </w:r>
            <w:r w:rsidRPr="00F7671F">
              <w:rPr>
                <w:vertAlign w:val="superscript"/>
              </w:rPr>
              <w:t xml:space="preserve"> </w:t>
            </w:r>
            <w:r w:rsidRPr="00F7671F">
              <w:rPr>
                <w:b/>
              </w:rPr>
              <w:t xml:space="preserve"> </w:t>
            </w:r>
            <w:r w:rsidRPr="00F7671F">
              <w:rPr>
                <w:iCs/>
                <w:lang w:bidi="he-IL"/>
              </w:rPr>
              <w:t>Строение периферической афферентной и эфферентной нервной системы. Основные медиаторы периферической и центральной нервной системы.</w:t>
            </w:r>
            <w:r w:rsidRPr="00F7671F">
              <w:rPr>
                <w:lang w:bidi="he-IL"/>
              </w:rPr>
              <w:t xml:space="preserve"> Психотропные эффекты средств, влияющих на адренергическую, холинергическую системы</w:t>
            </w:r>
            <w:r>
              <w:rPr>
                <w:lang w:bidi="he-IL"/>
              </w:rPr>
              <w:t>.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F295BDB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4</w:t>
            </w:r>
          </w:p>
        </w:tc>
      </w:tr>
      <w:tr w:rsidR="0073026A" w:rsidRPr="00F7671F" w14:paraId="6AEE17CC" w14:textId="77777777" w:rsidTr="00186F77">
        <w:trPr>
          <w:trHeight w:val="20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6C5BDC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6.</w:t>
            </w:r>
          </w:p>
        </w:tc>
        <w:tc>
          <w:tcPr>
            <w:tcW w:w="72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0CCFC0" w14:textId="75DE4C61" w:rsidR="0073026A" w:rsidRPr="00F7671F" w:rsidRDefault="0073026A" w:rsidP="0073026A">
            <w:pPr>
              <w:pStyle w:val="ad"/>
              <w:jc w:val="both"/>
              <w:rPr>
                <w:b/>
                <w:iCs/>
                <w:lang w:bidi="he-IL"/>
              </w:rPr>
            </w:pPr>
            <w:r w:rsidRPr="00F7671F">
              <w:rPr>
                <w:b/>
              </w:rPr>
              <w:t>Введение в фармакологию центральной нервной системы</w:t>
            </w:r>
            <w:r w:rsidRPr="00F7671F">
              <w:t>.</w:t>
            </w:r>
            <w:r w:rsidRPr="00F7671F">
              <w:rPr>
                <w:lang w:bidi="he-IL"/>
              </w:rPr>
              <w:t xml:space="preserve"> Основные медиаторы центральной нервной системы. Точки воздействия на центральную </w:t>
            </w:r>
            <w:proofErr w:type="spellStart"/>
            <w:r w:rsidRPr="00F7671F">
              <w:rPr>
                <w:lang w:bidi="he-IL"/>
              </w:rPr>
              <w:t>нейротрансмиссию</w:t>
            </w:r>
            <w:proofErr w:type="spellEnd"/>
            <w:r w:rsidR="0093308B">
              <w:rPr>
                <w:lang w:bidi="he-IL"/>
              </w:rPr>
              <w:t>.</w:t>
            </w:r>
            <w:r w:rsidRPr="00F7671F">
              <w:rPr>
                <w:lang w:bidi="he-IL"/>
              </w:rPr>
              <w:t xml:space="preserve"> Избирательность действия, центральных </w:t>
            </w:r>
            <w:proofErr w:type="spellStart"/>
            <w:r w:rsidRPr="00F7671F">
              <w:rPr>
                <w:lang w:bidi="he-IL"/>
              </w:rPr>
              <w:t>нейротропных</w:t>
            </w:r>
            <w:proofErr w:type="spellEnd"/>
            <w:r w:rsidRPr="00F7671F">
              <w:rPr>
                <w:lang w:bidi="he-IL"/>
              </w:rPr>
              <w:t xml:space="preserve"> средств стимулирующего и угнетающего действия. 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8AE7DF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4</w:t>
            </w:r>
          </w:p>
        </w:tc>
      </w:tr>
      <w:tr w:rsidR="0073026A" w:rsidRPr="00F7671F" w14:paraId="38E2721E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3D961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7.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14:paraId="53874A36" w14:textId="691DCE83" w:rsidR="0073026A" w:rsidRPr="00F7671F" w:rsidRDefault="0073026A" w:rsidP="0073026A">
            <w:pPr>
              <w:pStyle w:val="ad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</w:rPr>
              <w:t>Спирт этиловый. Снотворные средства.</w:t>
            </w:r>
            <w:r w:rsidRPr="00F7671F">
              <w:rPr>
                <w:lang w:bidi="he-IL"/>
              </w:rPr>
              <w:t xml:space="preserve"> Сон как активный процесс, гипногенные с</w:t>
            </w:r>
            <w:r w:rsidR="0093308B">
              <w:rPr>
                <w:lang w:bidi="he-IL"/>
              </w:rPr>
              <w:t xml:space="preserve">труктуры, нормальный цикл сна. Классификация снотворных средств. Лечение </w:t>
            </w:r>
            <w:proofErr w:type="spellStart"/>
            <w:r w:rsidR="0093308B">
              <w:rPr>
                <w:lang w:bidi="he-IL"/>
              </w:rPr>
              <w:t>бессоницы</w:t>
            </w:r>
            <w:proofErr w:type="spellEnd"/>
            <w:r w:rsidR="0093308B">
              <w:rPr>
                <w:lang w:bidi="he-IL"/>
              </w:rPr>
              <w:t>.</w:t>
            </w:r>
            <w:r w:rsidRPr="00F7671F">
              <w:rPr>
                <w:lang w:bidi="he-IL"/>
              </w:rPr>
              <w:t xml:space="preserve">  Механизмы снотворного действия, побочное действие снотворных средств, их способность вызывать зависимость. Интоксикация снотворными средствами, принципы фармакотерапии. Влияние этилового спирта на центральную нервную систему, зависимость от концентрации этанола. Острое и хроническое отравление спиртом этиловым, его социальные аспекты, лечение алкоголизма.</w:t>
            </w:r>
            <w:r w:rsidRPr="00F7671F">
              <w:rPr>
                <w:vertAlign w:val="superscript"/>
              </w:rPr>
              <w:t xml:space="preserve"> </w:t>
            </w:r>
            <w:r w:rsidRPr="00F7671F">
              <w:rPr>
                <w:lang w:bidi="he-I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6C9A5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F7671F" w14:paraId="1D996794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0C50F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8.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14:paraId="69D4BA52" w14:textId="31BB5378" w:rsidR="0073026A" w:rsidRPr="00F7671F" w:rsidRDefault="0073026A" w:rsidP="0073026A">
            <w:pPr>
              <w:pStyle w:val="ad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</w:rPr>
              <w:t>Противоэпилептические средства.</w:t>
            </w:r>
            <w:r w:rsidRPr="00F7671F">
              <w:rPr>
                <w:lang w:bidi="he-IL"/>
              </w:rPr>
              <w:t xml:space="preserve"> Механизмы действия противосудорожных средств. Сравнительная характеристика противоэпилептических средств. Психотропные эффекты противоэпилептических средств. Применение противоэпилептических средств в медицинской практике.</w:t>
            </w:r>
            <w:r w:rsidRPr="00F7671F">
              <w:rPr>
                <w:vertAlign w:val="superscript"/>
                <w:lang w:bidi="he-I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CCEE2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F7671F" w14:paraId="1FBE6A88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76A71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9.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14:paraId="002B2415" w14:textId="77777777" w:rsidR="0073026A" w:rsidRPr="00F7671F" w:rsidRDefault="0073026A" w:rsidP="0073026A">
            <w:pPr>
              <w:pStyle w:val="ad"/>
              <w:spacing w:before="40"/>
              <w:jc w:val="both"/>
            </w:pPr>
            <w:r w:rsidRPr="00F7671F">
              <w:rPr>
                <w:b/>
              </w:rPr>
              <w:t xml:space="preserve">Фармакология лекарственных препаратов для лечения нейро-дегенеративных заболеваний. </w:t>
            </w:r>
            <w:proofErr w:type="spellStart"/>
            <w:r w:rsidRPr="00F7671F">
              <w:rPr>
                <w:b/>
              </w:rPr>
              <w:t>Противопаркинсонические</w:t>
            </w:r>
            <w:proofErr w:type="spellEnd"/>
            <w:r w:rsidRPr="00F7671F">
              <w:rPr>
                <w:b/>
              </w:rPr>
              <w:t xml:space="preserve"> средства</w:t>
            </w:r>
            <w:r w:rsidRPr="00F7671F">
              <w:t>.</w:t>
            </w:r>
            <w:r w:rsidRPr="00F7671F">
              <w:rPr>
                <w:vertAlign w:val="superscript"/>
              </w:rPr>
              <w:t xml:space="preserve"> 1</w:t>
            </w:r>
            <w:r>
              <w:rPr>
                <w:vertAlign w:val="superscript"/>
              </w:rPr>
              <w:t xml:space="preserve"> </w:t>
            </w:r>
            <w:r w:rsidRPr="00F7671F">
              <w:t xml:space="preserve">Основные виды нейро-дегенеративных заболеваний. Современные представления о фармакотерапии средств для лечения болезни Альцгеймера,  Паркинсона. Нейро- и психотропные эффекты  препаратов, применяемых для лечения болезни Альцгеймера, Паркинсона и </w:t>
            </w:r>
            <w:proofErr w:type="spellStart"/>
            <w:r w:rsidRPr="00F7671F">
              <w:t>прионных</w:t>
            </w:r>
            <w:proofErr w:type="spellEnd"/>
            <w:r w:rsidRPr="00F7671F">
              <w:t xml:space="preserve"> заболеваний.</w:t>
            </w:r>
            <w:r w:rsidRPr="00F7671F">
              <w:rPr>
                <w:vertAlign w:val="superscript"/>
              </w:rPr>
              <w:t xml:space="preserve"> 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3E17E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F7671F" w14:paraId="5D5875EE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9763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10.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14:paraId="760194EB" w14:textId="5C1C9FF3" w:rsidR="0073026A" w:rsidRPr="00F7671F" w:rsidRDefault="0073026A" w:rsidP="0073026A">
            <w:pPr>
              <w:pStyle w:val="ad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  <w:lang w:bidi="he-IL"/>
              </w:rPr>
              <w:t>Фармакологические основы лечения тревожных расстройств.</w:t>
            </w:r>
            <w:r w:rsidRPr="00F7671F">
              <w:rPr>
                <w:lang w:bidi="he-IL"/>
              </w:rPr>
              <w:t xml:space="preserve"> Клиническое различие между психозами и неврозами, особенности фармакотерапии. Механизмы действия </w:t>
            </w:r>
            <w:proofErr w:type="spellStart"/>
            <w:r w:rsidRPr="00F7671F">
              <w:rPr>
                <w:lang w:bidi="he-IL"/>
              </w:rPr>
              <w:t>анксиолитиков</w:t>
            </w:r>
            <w:proofErr w:type="spellEnd"/>
            <w:r w:rsidRPr="00F7671F">
              <w:rPr>
                <w:lang w:bidi="he-IL"/>
              </w:rPr>
              <w:t>, понятие о дневных транквилизаторах, побочные эффекты, особенности влияния на поведение человека, возможность развития лекарственной зависимости.</w:t>
            </w:r>
            <w:r w:rsidRPr="00F7671F">
              <w:rPr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AE10D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F7671F" w14:paraId="26592296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0CDF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11.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14:paraId="14477F96" w14:textId="6E08D891" w:rsidR="0073026A" w:rsidRPr="00F7671F" w:rsidRDefault="0073026A" w:rsidP="0073026A">
            <w:pPr>
              <w:pStyle w:val="ad"/>
              <w:spacing w:before="40"/>
              <w:jc w:val="both"/>
              <w:rPr>
                <w:b/>
                <w:lang w:bidi="he-IL"/>
              </w:rPr>
            </w:pPr>
            <w:r w:rsidRPr="00F7671F">
              <w:rPr>
                <w:b/>
              </w:rPr>
              <w:t>Антипсихотические средства (нейролептики)</w:t>
            </w:r>
            <w:r>
              <w:rPr>
                <w:b/>
              </w:rPr>
              <w:t>.</w:t>
            </w:r>
            <w:r w:rsidR="00125C4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 w:rsidRPr="00F7671F">
              <w:rPr>
                <w:lang w:bidi="he-IL"/>
              </w:rPr>
              <w:t xml:space="preserve">Классификация, основные эффекты, механизмы действия нейролептиков. Влияние на </w:t>
            </w:r>
            <w:proofErr w:type="spellStart"/>
            <w:r w:rsidRPr="00F7671F">
              <w:rPr>
                <w:lang w:bidi="he-IL"/>
              </w:rPr>
              <w:t>дофаминергические</w:t>
            </w:r>
            <w:proofErr w:type="spellEnd"/>
            <w:r w:rsidRPr="00F7671F">
              <w:rPr>
                <w:lang w:bidi="he-IL"/>
              </w:rPr>
              <w:t xml:space="preserve"> и другие </w:t>
            </w:r>
            <w:proofErr w:type="spellStart"/>
            <w:r w:rsidRPr="00F7671F">
              <w:rPr>
                <w:lang w:bidi="he-IL"/>
              </w:rPr>
              <w:t>нейромедиаторные</w:t>
            </w:r>
            <w:proofErr w:type="spellEnd"/>
            <w:r w:rsidRPr="00F7671F">
              <w:rPr>
                <w:lang w:bidi="he-IL"/>
              </w:rPr>
              <w:t xml:space="preserve"> процессы в ЦНС и периферических тканях. Применение антипсихотических средств в медицинской практике. Побочные эффекты </w:t>
            </w:r>
            <w:r w:rsidRPr="00F7671F">
              <w:rPr>
                <w:lang w:bidi="he-IL"/>
              </w:rPr>
              <w:lastRenderedPageBreak/>
              <w:t>нейролептиков, способы их коррекции.</w:t>
            </w:r>
            <w:r w:rsidRPr="00F7671F">
              <w:rPr>
                <w:vertAlign w:val="superscript"/>
              </w:rPr>
              <w:t xml:space="preserve"> </w:t>
            </w:r>
            <w:r w:rsidRPr="00F7671F">
              <w:rPr>
                <w:lang w:bidi="he-I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6564A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lastRenderedPageBreak/>
              <w:t>3</w:t>
            </w:r>
          </w:p>
        </w:tc>
      </w:tr>
      <w:tr w:rsidR="0073026A" w:rsidRPr="00F7671F" w14:paraId="2AC7991B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095D4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12.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0CED6" w14:textId="646915A7" w:rsidR="0073026A" w:rsidRPr="00F7671F" w:rsidRDefault="0073026A" w:rsidP="0073026A">
            <w:pPr>
              <w:pStyle w:val="ad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</w:rPr>
              <w:t xml:space="preserve">Антидепрессанты. </w:t>
            </w:r>
            <w:proofErr w:type="spellStart"/>
            <w:r w:rsidRPr="00F7671F">
              <w:rPr>
                <w:b/>
              </w:rPr>
              <w:t>Тимеретики</w:t>
            </w:r>
            <w:proofErr w:type="spellEnd"/>
            <w:r w:rsidRPr="00F7671F">
              <w:rPr>
                <w:b/>
              </w:rPr>
              <w:t xml:space="preserve">. </w:t>
            </w:r>
            <w:proofErr w:type="spellStart"/>
            <w:r w:rsidRPr="00F7671F">
              <w:rPr>
                <w:b/>
              </w:rPr>
              <w:t>Тимолептики</w:t>
            </w:r>
            <w:proofErr w:type="spellEnd"/>
            <w:r w:rsidRPr="00F7671F">
              <w:rPr>
                <w:b/>
              </w:rPr>
              <w:t xml:space="preserve">. </w:t>
            </w:r>
            <w:r w:rsidRPr="00F7671F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F7671F">
              <w:rPr>
                <w:lang w:bidi="he-IL"/>
              </w:rPr>
              <w:t xml:space="preserve">Антидепрессанты - ингибиторы обратного нейронального захвата моноаминов  неизбирательного и избирательного действия. Понятие о </w:t>
            </w:r>
            <w:proofErr w:type="spellStart"/>
            <w:r w:rsidRPr="00F7671F">
              <w:rPr>
                <w:lang w:bidi="he-IL"/>
              </w:rPr>
              <w:t>тимеретиках</w:t>
            </w:r>
            <w:proofErr w:type="spellEnd"/>
            <w:r w:rsidRPr="00F7671F">
              <w:rPr>
                <w:lang w:bidi="he-IL"/>
              </w:rPr>
              <w:t xml:space="preserve"> и </w:t>
            </w:r>
            <w:proofErr w:type="spellStart"/>
            <w:r w:rsidRPr="00F7671F">
              <w:rPr>
                <w:lang w:bidi="he-IL"/>
              </w:rPr>
              <w:t>тимолептиках</w:t>
            </w:r>
            <w:proofErr w:type="spellEnd"/>
            <w:r w:rsidRPr="00F7671F">
              <w:rPr>
                <w:lang w:bidi="he-IL"/>
              </w:rPr>
              <w:t>. Влияние на различные рецепторные семейства (</w:t>
            </w:r>
            <w:proofErr w:type="spellStart"/>
            <w:r w:rsidRPr="00F7671F">
              <w:rPr>
                <w:lang w:bidi="he-IL"/>
              </w:rPr>
              <w:t>адренорецепторы</w:t>
            </w:r>
            <w:proofErr w:type="spellEnd"/>
            <w:r w:rsidRPr="00F7671F">
              <w:rPr>
                <w:lang w:bidi="he-IL"/>
              </w:rPr>
              <w:t xml:space="preserve">, </w:t>
            </w:r>
            <w:proofErr w:type="spellStart"/>
            <w:r w:rsidRPr="00F7671F">
              <w:rPr>
                <w:lang w:bidi="he-IL"/>
              </w:rPr>
              <w:t>холинорецепторы</w:t>
            </w:r>
            <w:proofErr w:type="spellEnd"/>
            <w:r w:rsidRPr="00F7671F">
              <w:rPr>
                <w:lang w:bidi="he-IL"/>
              </w:rPr>
              <w:t xml:space="preserve">, </w:t>
            </w:r>
            <w:proofErr w:type="spellStart"/>
            <w:r w:rsidRPr="00F7671F">
              <w:rPr>
                <w:lang w:bidi="he-IL"/>
              </w:rPr>
              <w:t>гистаминовые</w:t>
            </w:r>
            <w:proofErr w:type="spellEnd"/>
            <w:r w:rsidRPr="00F7671F">
              <w:rPr>
                <w:lang w:bidi="he-IL"/>
              </w:rPr>
              <w:t>, серотониновые рецепторы) и опосредуемые этим  побочные эффекты.</w:t>
            </w:r>
            <w:r w:rsidRPr="00F7671F">
              <w:rPr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BEC5D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F7671F" w14:paraId="13568244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7B2C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13.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72313" w14:textId="5F723CCE" w:rsidR="0073026A" w:rsidRPr="00F7671F" w:rsidRDefault="0073026A" w:rsidP="0073026A">
            <w:pPr>
              <w:pStyle w:val="ad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</w:rPr>
              <w:t>Ноотропные средства. Общетонизирующие средства (адаптогены).</w:t>
            </w:r>
            <w:r w:rsidR="00125C4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 w:rsidRPr="00F7671F">
              <w:rPr>
                <w:lang w:bidi="he-IL"/>
              </w:rPr>
              <w:t xml:space="preserve">Фармакологические эффекты </w:t>
            </w:r>
            <w:proofErr w:type="spellStart"/>
            <w:r w:rsidRPr="00F7671F">
              <w:rPr>
                <w:lang w:bidi="he-IL"/>
              </w:rPr>
              <w:t>ноотропов</w:t>
            </w:r>
            <w:proofErr w:type="spellEnd"/>
            <w:r w:rsidRPr="00F7671F">
              <w:rPr>
                <w:lang w:bidi="he-IL"/>
              </w:rPr>
              <w:t xml:space="preserve"> и общетонизирующих средств, особенности влияния на поведение и психические функции человека. Влияние ноотропных средств на высшую нервную деятельность. Показания к применению ноотропных средств и адаптогенов.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94C73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F7671F" w14:paraId="4141115B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1DCD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14.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43D07" w14:textId="04E2352B" w:rsidR="0073026A" w:rsidRPr="00F7671F" w:rsidRDefault="0073026A" w:rsidP="0073026A">
            <w:pPr>
              <w:pStyle w:val="ad"/>
              <w:spacing w:before="40"/>
              <w:jc w:val="both"/>
              <w:rPr>
                <w:lang w:bidi="he-IL"/>
              </w:rPr>
            </w:pPr>
            <w:r w:rsidRPr="00F7671F">
              <w:rPr>
                <w:b/>
              </w:rPr>
              <w:t>Психостимуляторы. Аналептики.</w:t>
            </w:r>
            <w:r w:rsidRPr="00F7671F">
              <w:t xml:space="preserve"> </w:t>
            </w:r>
            <w:r w:rsidRPr="00F7671F">
              <w:rPr>
                <w:lang w:bidi="he-IL"/>
              </w:rPr>
              <w:t>Сравнительная харак</w:t>
            </w:r>
            <w:r w:rsidRPr="00F7671F">
              <w:rPr>
                <w:lang w:bidi="he-IL"/>
              </w:rPr>
              <w:softHyphen/>
              <w:t>теристика психостимулирующих средств. Влияние на сердечно-сосудистую систему психостимуляторов. Возможность развития лекарственной зависимости. Применение в медицинской практике. Механизмы стимулирующего действия на ЦНС аналептиков. Влияние на дыхание и кровообращение. Применение. Побочные эффекты. Судорожная активность аналептиков.</w:t>
            </w:r>
            <w:r w:rsidRPr="00F7671F">
              <w:rPr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6239E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F7671F" w14:paraId="42707B36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3A94C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15.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AF43" w14:textId="27F81902" w:rsidR="0073026A" w:rsidRPr="00F7671F" w:rsidRDefault="0073026A" w:rsidP="0073026A">
            <w:pPr>
              <w:pStyle w:val="ad"/>
              <w:spacing w:before="40"/>
              <w:jc w:val="both"/>
            </w:pPr>
            <w:r w:rsidRPr="00F7671F">
              <w:rPr>
                <w:b/>
              </w:rPr>
              <w:t>Болеутоляющие  (анальгетические) средства</w:t>
            </w:r>
            <w:r w:rsidRPr="00F7671F">
              <w:t>.</w:t>
            </w:r>
            <w:r w:rsidRPr="00F7671F">
              <w:rPr>
                <w:vertAlign w:val="superscript"/>
              </w:rPr>
              <w:t xml:space="preserve"> </w:t>
            </w:r>
            <w:r w:rsidRPr="00F7671F">
              <w:t xml:space="preserve"> Понятие о </w:t>
            </w:r>
            <w:proofErr w:type="spellStart"/>
            <w:r w:rsidRPr="00F7671F">
              <w:t>ноцицептивной</w:t>
            </w:r>
            <w:proofErr w:type="spellEnd"/>
            <w:r w:rsidRPr="00F7671F">
              <w:t xml:space="preserve"> и </w:t>
            </w:r>
            <w:proofErr w:type="spellStart"/>
            <w:r w:rsidRPr="00F7671F">
              <w:t>антиноцицептивной</w:t>
            </w:r>
            <w:proofErr w:type="spellEnd"/>
            <w:r w:rsidRPr="00F7671F">
              <w:t xml:space="preserve"> системе. </w:t>
            </w:r>
            <w:r w:rsidRPr="00F7671F">
              <w:rPr>
                <w:lang w:bidi="he-IL"/>
              </w:rPr>
              <w:t>Восприятие и регуляция</w:t>
            </w:r>
            <w:r w:rsidRPr="00F7671F">
              <w:rPr>
                <w:i/>
                <w:lang w:bidi="he-IL"/>
              </w:rPr>
              <w:t xml:space="preserve"> </w:t>
            </w:r>
            <w:r w:rsidRPr="00F7671F">
              <w:rPr>
                <w:lang w:bidi="he-IL"/>
              </w:rPr>
              <w:t xml:space="preserve">боли. Виды боли. Опиоидные рецепторы и их эндогенные </w:t>
            </w:r>
            <w:proofErr w:type="spellStart"/>
            <w:r w:rsidRPr="00F7671F">
              <w:rPr>
                <w:lang w:bidi="he-IL"/>
              </w:rPr>
              <w:t>лиганды</w:t>
            </w:r>
            <w:proofErr w:type="spellEnd"/>
            <w:r w:rsidRPr="00F7671F">
              <w:rPr>
                <w:lang w:bidi="he-IL"/>
              </w:rPr>
              <w:t>.</w:t>
            </w:r>
            <w:r w:rsidRPr="00F7671F">
              <w:rPr>
                <w:b/>
                <w:i/>
                <w:lang w:bidi="he-IL"/>
              </w:rPr>
              <w:t xml:space="preserve"> </w:t>
            </w:r>
            <w:r w:rsidRPr="00F7671F">
              <w:rPr>
                <w:lang w:bidi="he-IL"/>
              </w:rPr>
              <w:t>Механизмы анальгетического действия наркотических и ненаркотических болеутоляющих средств. Побочные эффекты. Препараты разных фармакологических групп с анальгетическим компонентом действия. Механизмы  болеутоляющего действия. Применение. Анальгетики со смешанным механизмом действия (опиоидный-</w:t>
            </w:r>
            <w:proofErr w:type="spellStart"/>
            <w:r w:rsidRPr="00F7671F">
              <w:rPr>
                <w:lang w:bidi="he-IL"/>
              </w:rPr>
              <w:t>неопиоидный</w:t>
            </w:r>
            <w:proofErr w:type="spellEnd"/>
            <w:r w:rsidRPr="00F7671F">
              <w:rPr>
                <w:lang w:bidi="he-IL"/>
              </w:rPr>
              <w:t>). Показания к применению. Побочные эффекты.</w:t>
            </w:r>
            <w:r w:rsidRPr="00F7671F">
              <w:rPr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A717D" w14:textId="77777777" w:rsidR="0073026A" w:rsidRPr="00F7671F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F7671F">
              <w:rPr>
                <w:color w:val="auto"/>
              </w:rPr>
              <w:t>3</w:t>
            </w:r>
          </w:p>
        </w:tc>
      </w:tr>
      <w:tr w:rsidR="0073026A" w:rsidRPr="0073026A" w14:paraId="1A3A35B4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A64C" w14:textId="77777777" w:rsidR="0073026A" w:rsidRPr="0073026A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73026A">
              <w:rPr>
                <w:color w:val="auto"/>
              </w:rPr>
              <w:t>16.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B018" w14:textId="33B4CD58" w:rsidR="0073026A" w:rsidRPr="0073026A" w:rsidRDefault="0073026A" w:rsidP="0073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6A">
              <w:rPr>
                <w:rFonts w:ascii="Times New Roman" w:hAnsi="Times New Roman"/>
                <w:b/>
                <w:sz w:val="24"/>
                <w:szCs w:val="24"/>
              </w:rPr>
              <w:t>Лекарственные средства, вызывающие лекарственную зависимость. Понятие о наркомании и токсикомании</w:t>
            </w:r>
            <w:r w:rsidRPr="007302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02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026A">
              <w:rPr>
                <w:rFonts w:ascii="Times New Roman" w:hAnsi="Times New Roman"/>
                <w:sz w:val="24"/>
                <w:szCs w:val="24"/>
              </w:rPr>
              <w:t xml:space="preserve">Социальная и медицинская значимость злоупотреблений психотропными лекарственными средствами. Понятия о лекарственной зависимости и ее типах, наркомании, токсикомании, </w:t>
            </w:r>
            <w:proofErr w:type="spellStart"/>
            <w:r w:rsidRPr="0073026A">
              <w:rPr>
                <w:rFonts w:ascii="Times New Roman" w:hAnsi="Times New Roman"/>
                <w:sz w:val="24"/>
                <w:szCs w:val="24"/>
              </w:rPr>
              <w:t>наркоманическом</w:t>
            </w:r>
            <w:proofErr w:type="spellEnd"/>
            <w:r w:rsidRPr="0073026A">
              <w:rPr>
                <w:rFonts w:ascii="Times New Roman" w:hAnsi="Times New Roman"/>
                <w:sz w:val="24"/>
                <w:szCs w:val="24"/>
              </w:rPr>
              <w:t xml:space="preserve"> синдроме. </w:t>
            </w:r>
            <w:r w:rsidRPr="0073026A">
              <w:rPr>
                <w:rFonts w:ascii="Times New Roman" w:hAnsi="Times New Roman"/>
                <w:sz w:val="24"/>
                <w:szCs w:val="24"/>
                <w:lang w:bidi="he-IL"/>
              </w:rPr>
              <w:t>Классификация средств, вызывающих зависимость. Принципы терапии наркомании и токсикомании. Профилактика использования лекарственных средств в немедицинских целях.</w:t>
            </w:r>
            <w:r w:rsidRPr="00730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026A">
              <w:rPr>
                <w:rFonts w:ascii="Times New Roman" w:hAnsi="Times New Roman"/>
                <w:bCs/>
                <w:sz w:val="24"/>
                <w:szCs w:val="24"/>
              </w:rPr>
              <w:t>Перечень наркотических средств, психотропных веществ и их прекурсоров, подлежащих контролю в РФ.</w:t>
            </w:r>
            <w:r w:rsidRPr="007302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32D36" w14:textId="77777777" w:rsidR="0073026A" w:rsidRPr="0073026A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73026A">
              <w:rPr>
                <w:color w:val="auto"/>
              </w:rPr>
              <w:t>3</w:t>
            </w:r>
          </w:p>
        </w:tc>
      </w:tr>
      <w:tr w:rsidR="0073026A" w:rsidRPr="0073026A" w14:paraId="52F72214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0000" w14:textId="77777777" w:rsidR="0073026A" w:rsidRPr="0073026A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73026A">
              <w:rPr>
                <w:color w:val="auto"/>
              </w:rPr>
              <w:lastRenderedPageBreak/>
              <w:t>17.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BD005" w14:textId="585EEFB5" w:rsidR="0073026A" w:rsidRPr="0073026A" w:rsidRDefault="0073026A" w:rsidP="0073026A">
            <w:pPr>
              <w:tabs>
                <w:tab w:val="left" w:pos="4500"/>
                <w:tab w:val="left" w:pos="4928"/>
              </w:tabs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73026A">
              <w:rPr>
                <w:rFonts w:ascii="Times New Roman" w:hAnsi="Times New Roman"/>
                <w:b/>
                <w:sz w:val="24"/>
                <w:szCs w:val="24"/>
              </w:rPr>
              <w:t>Нежелательные реакции при применении лекарственных средств.</w:t>
            </w:r>
            <w:r w:rsidRPr="0073026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Классификация   </w:t>
            </w:r>
            <w:r w:rsidRPr="0073026A">
              <w:rPr>
                <w:rFonts w:ascii="Times New Roman" w:hAnsi="Times New Roman"/>
                <w:sz w:val="24"/>
                <w:szCs w:val="24"/>
              </w:rPr>
              <w:t>нежелательных реакции при применении лекарственных средств</w:t>
            </w:r>
            <w:r w:rsidRPr="007302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3026A">
              <w:rPr>
                <w:rFonts w:ascii="Times New Roman" w:hAnsi="Times New Roman"/>
                <w:sz w:val="24"/>
                <w:szCs w:val="24"/>
                <w:lang w:bidi="he-IL"/>
              </w:rPr>
              <w:t>Психотропные токсические эффекты различных фармакологических групп.</w:t>
            </w:r>
            <w:r w:rsidRPr="0073026A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r w:rsidRPr="0073026A">
              <w:rPr>
                <w:rFonts w:ascii="Times New Roman" w:hAnsi="Times New Roman"/>
                <w:sz w:val="24"/>
                <w:szCs w:val="24"/>
              </w:rPr>
              <w:t xml:space="preserve">Психотропные побочные реакции </w:t>
            </w:r>
            <w:proofErr w:type="spellStart"/>
            <w:r w:rsidRPr="0073026A">
              <w:rPr>
                <w:rFonts w:ascii="Times New Roman" w:hAnsi="Times New Roman"/>
                <w:sz w:val="24"/>
                <w:szCs w:val="24"/>
              </w:rPr>
              <w:t>органотропных</w:t>
            </w:r>
            <w:proofErr w:type="spellEnd"/>
            <w:r w:rsidRPr="0073026A">
              <w:rPr>
                <w:rFonts w:ascii="Times New Roman" w:hAnsi="Times New Roman"/>
                <w:sz w:val="24"/>
                <w:szCs w:val="24"/>
              </w:rPr>
              <w:t xml:space="preserve"> препаратов. Психотропные побочные эффекты средств, влияющих на сердечно-сосудистую систему. Психотропные побочные эффекты гормональных средств.</w:t>
            </w:r>
            <w:r w:rsidRPr="0073026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Механизм развития побочных эффектов.   Зависимость их развития от путей введения, скорость развития лекарственной терапии</w:t>
            </w:r>
            <w:r w:rsidRPr="007302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3026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4FB8" w14:textId="77777777" w:rsidR="0073026A" w:rsidRPr="0073026A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</w:rPr>
            </w:pPr>
            <w:r w:rsidRPr="0073026A">
              <w:rPr>
                <w:color w:val="auto"/>
              </w:rPr>
              <w:t>4</w:t>
            </w:r>
          </w:p>
        </w:tc>
      </w:tr>
      <w:tr w:rsidR="0073026A" w:rsidRPr="0073026A" w14:paraId="5352613F" w14:textId="77777777" w:rsidTr="00186F7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4A1B" w14:textId="77777777" w:rsidR="0073026A" w:rsidRPr="0073026A" w:rsidRDefault="0073026A" w:rsidP="0073026A">
            <w:pPr>
              <w:pStyle w:val="xl26"/>
              <w:widowControl w:val="0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EDCC7" w14:textId="77777777" w:rsidR="0073026A" w:rsidRPr="0073026A" w:rsidRDefault="0073026A" w:rsidP="00730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26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9895" w14:textId="77777777" w:rsidR="0073026A" w:rsidRPr="0073026A" w:rsidRDefault="0073026A" w:rsidP="0073026A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73026A">
              <w:rPr>
                <w:b/>
                <w:color w:val="auto"/>
              </w:rPr>
              <w:t>54</w:t>
            </w:r>
          </w:p>
        </w:tc>
      </w:tr>
    </w:tbl>
    <w:p w14:paraId="1A6994EA" w14:textId="77777777" w:rsidR="0073026A" w:rsidRDefault="0073026A" w:rsidP="0073026A">
      <w:pPr>
        <w:pStyle w:val="a7"/>
      </w:pPr>
    </w:p>
    <w:p w14:paraId="5F82A57B" w14:textId="77777777" w:rsidR="0073026A" w:rsidRPr="00C82EF6" w:rsidRDefault="0073026A" w:rsidP="0073026A"/>
    <w:p w14:paraId="32133CAC" w14:textId="77777777" w:rsidR="00C105EE" w:rsidRDefault="00C105EE" w:rsidP="00C105EE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7BBFFF7" w14:textId="5815AD9E" w:rsidR="00125C47" w:rsidRDefault="00125C47" w:rsidP="00125C47">
      <w:pPr>
        <w:rPr>
          <w:rFonts w:ascii="Times New Roman" w:hAnsi="Times New Roman"/>
          <w:sz w:val="24"/>
        </w:rPr>
      </w:pPr>
      <w:r w:rsidRPr="00C82EF6">
        <w:rPr>
          <w:rFonts w:ascii="Times New Roman" w:hAnsi="Times New Roman"/>
          <w:sz w:val="24"/>
        </w:rPr>
        <w:t xml:space="preserve">Обсуждено на заседании кафедры </w:t>
      </w:r>
      <w:r>
        <w:rPr>
          <w:rFonts w:ascii="Times New Roman" w:hAnsi="Times New Roman"/>
          <w:sz w:val="24"/>
        </w:rPr>
        <w:t>фармакологии и биоинформатики</w:t>
      </w:r>
      <w:r w:rsidRPr="00C82EF6">
        <w:rPr>
          <w:rFonts w:ascii="Times New Roman" w:hAnsi="Times New Roman"/>
          <w:sz w:val="24"/>
        </w:rPr>
        <w:t xml:space="preserve">, протокол № </w:t>
      </w:r>
      <w:r w:rsidRPr="00185E4B">
        <w:rPr>
          <w:rFonts w:ascii="Times New Roman" w:hAnsi="Times New Roman"/>
          <w:sz w:val="24"/>
        </w:rPr>
        <w:t>1</w:t>
      </w:r>
      <w:r w:rsidR="00C05DAA">
        <w:rPr>
          <w:rFonts w:ascii="Times New Roman" w:hAnsi="Times New Roman"/>
          <w:sz w:val="24"/>
        </w:rPr>
        <w:t xml:space="preserve">7 </w:t>
      </w:r>
      <w:r w:rsidRPr="00185E4B">
        <w:rPr>
          <w:rFonts w:ascii="Times New Roman" w:hAnsi="Times New Roman"/>
          <w:sz w:val="24"/>
        </w:rPr>
        <w:t xml:space="preserve">от </w:t>
      </w:r>
      <w:r w:rsidR="00C05DAA">
        <w:rPr>
          <w:rFonts w:ascii="Times New Roman" w:hAnsi="Times New Roman"/>
          <w:sz w:val="24"/>
        </w:rPr>
        <w:t>2</w:t>
      </w:r>
      <w:r w:rsidR="00186F77">
        <w:rPr>
          <w:rFonts w:ascii="Times New Roman" w:hAnsi="Times New Roman"/>
          <w:sz w:val="24"/>
        </w:rPr>
        <w:t>5</w:t>
      </w:r>
      <w:r w:rsidRPr="00185E4B">
        <w:rPr>
          <w:rFonts w:ascii="Times New Roman" w:hAnsi="Times New Roman"/>
          <w:sz w:val="24"/>
        </w:rPr>
        <w:t xml:space="preserve"> </w:t>
      </w:r>
      <w:r w:rsidR="00C05DAA">
        <w:rPr>
          <w:rFonts w:ascii="Times New Roman" w:hAnsi="Times New Roman"/>
          <w:sz w:val="24"/>
        </w:rPr>
        <w:t xml:space="preserve">мая </w:t>
      </w:r>
      <w:r w:rsidRPr="00185E4B">
        <w:rPr>
          <w:rFonts w:ascii="Times New Roman" w:hAnsi="Times New Roman"/>
          <w:sz w:val="24"/>
        </w:rPr>
        <w:t>20</w:t>
      </w:r>
      <w:r w:rsidR="001E01C3">
        <w:rPr>
          <w:rFonts w:ascii="Times New Roman" w:hAnsi="Times New Roman"/>
          <w:sz w:val="24"/>
        </w:rPr>
        <w:t>2</w:t>
      </w:r>
      <w:r w:rsidR="00186F77">
        <w:rPr>
          <w:rFonts w:ascii="Times New Roman" w:hAnsi="Times New Roman"/>
          <w:sz w:val="24"/>
        </w:rPr>
        <w:t>3</w:t>
      </w:r>
      <w:r w:rsidRPr="00185E4B">
        <w:rPr>
          <w:rFonts w:ascii="Times New Roman" w:hAnsi="Times New Roman"/>
          <w:sz w:val="24"/>
        </w:rPr>
        <w:t xml:space="preserve"> г.</w:t>
      </w:r>
    </w:p>
    <w:p w14:paraId="285C9791" w14:textId="77777777" w:rsidR="00EC03CF" w:rsidRPr="00C82EF6" w:rsidRDefault="00125C47" w:rsidP="00EC03CF">
      <w:pPr>
        <w:rPr>
          <w:rFonts w:ascii="Times New Roman" w:hAnsi="Times New Roman"/>
          <w:sz w:val="28"/>
        </w:rPr>
      </w:pPr>
      <w:r w:rsidRPr="00C82EF6">
        <w:rPr>
          <w:rFonts w:ascii="Times New Roman" w:hAnsi="Times New Roman"/>
          <w:sz w:val="24"/>
        </w:rPr>
        <w:t>Заведующий кафедрой, академик РАН</w:t>
      </w:r>
      <w:r w:rsidRPr="00C82EF6">
        <w:rPr>
          <w:rFonts w:ascii="Times New Roman" w:hAnsi="Times New Roman"/>
          <w:sz w:val="24"/>
        </w:rPr>
        <w:tab/>
      </w:r>
      <w:r w:rsidRPr="00C82EF6">
        <w:rPr>
          <w:rFonts w:ascii="Times New Roman" w:hAnsi="Times New Roman"/>
          <w:sz w:val="24"/>
        </w:rPr>
        <w:tab/>
      </w:r>
      <w:r w:rsidR="00EC03CF" w:rsidRPr="00522B2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B2D67C5" wp14:editId="77F2CF46">
            <wp:extent cx="1419225" cy="66675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EF6">
        <w:rPr>
          <w:rFonts w:ascii="Times New Roman" w:hAnsi="Times New Roman"/>
          <w:sz w:val="24"/>
        </w:rPr>
        <w:tab/>
      </w:r>
      <w:r w:rsidR="00EC03CF" w:rsidRPr="00C82EF6">
        <w:rPr>
          <w:rFonts w:ascii="Times New Roman" w:hAnsi="Times New Roman"/>
          <w:sz w:val="24"/>
        </w:rPr>
        <w:t>А.А. Спасов</w:t>
      </w:r>
    </w:p>
    <w:p w14:paraId="62579B18" w14:textId="6E9A1676" w:rsidR="00125C47" w:rsidRPr="00C82EF6" w:rsidRDefault="00125C47" w:rsidP="00125C47">
      <w:pPr>
        <w:rPr>
          <w:rFonts w:ascii="Times New Roman" w:hAnsi="Times New Roman"/>
          <w:sz w:val="28"/>
        </w:rPr>
      </w:pPr>
      <w:r w:rsidRPr="00C82EF6">
        <w:rPr>
          <w:rFonts w:ascii="Times New Roman" w:hAnsi="Times New Roman"/>
          <w:sz w:val="24"/>
        </w:rPr>
        <w:tab/>
      </w:r>
      <w:r w:rsidRPr="00C82EF6">
        <w:rPr>
          <w:rFonts w:ascii="Times New Roman" w:hAnsi="Times New Roman"/>
          <w:sz w:val="24"/>
        </w:rPr>
        <w:tab/>
      </w:r>
      <w:r w:rsidRPr="00C82EF6">
        <w:rPr>
          <w:rFonts w:ascii="Times New Roman" w:hAnsi="Times New Roman"/>
          <w:sz w:val="24"/>
        </w:rPr>
        <w:tab/>
      </w:r>
    </w:p>
    <w:p w14:paraId="270B55EC" w14:textId="77777777" w:rsidR="0073026A" w:rsidRPr="001E01C3" w:rsidRDefault="0073026A" w:rsidP="0073026A"/>
    <w:p w14:paraId="78EC047D" w14:textId="77777777" w:rsidR="0073026A" w:rsidRDefault="0073026A" w:rsidP="0073026A"/>
    <w:p w14:paraId="117533BD" w14:textId="77777777" w:rsidR="0073026A" w:rsidRDefault="0073026A" w:rsidP="0073026A"/>
    <w:p w14:paraId="55E5C4EE" w14:textId="77777777" w:rsidR="00125C47" w:rsidRDefault="00125C47" w:rsidP="0073026A"/>
    <w:p w14:paraId="6AC0B6CD" w14:textId="77777777" w:rsidR="00125C47" w:rsidRDefault="00125C47" w:rsidP="0073026A"/>
    <w:p w14:paraId="7E31B63A" w14:textId="77777777" w:rsidR="00125C47" w:rsidRDefault="00125C47" w:rsidP="0073026A"/>
    <w:p w14:paraId="5428D484" w14:textId="77777777" w:rsidR="00125C47" w:rsidRDefault="00125C47" w:rsidP="0073026A"/>
    <w:p w14:paraId="3D6DB920" w14:textId="77777777" w:rsidR="00125C47" w:rsidRDefault="00125C47" w:rsidP="0073026A"/>
    <w:p w14:paraId="3563CD0E" w14:textId="77777777" w:rsidR="00125C47" w:rsidRDefault="00125C47" w:rsidP="0073026A"/>
    <w:p w14:paraId="50BE500D" w14:textId="77777777" w:rsidR="00125C47" w:rsidRDefault="00125C47" w:rsidP="0073026A"/>
    <w:p w14:paraId="3011E4E1" w14:textId="77777777" w:rsidR="00125C47" w:rsidRDefault="00125C47" w:rsidP="0073026A"/>
    <w:p w14:paraId="398663A1" w14:textId="77777777" w:rsidR="00125C47" w:rsidRDefault="00125C47" w:rsidP="0073026A"/>
    <w:p w14:paraId="73A8F3CC" w14:textId="6A8BED90" w:rsidR="00125C47" w:rsidRDefault="007D4D2C" w:rsidP="0073026A">
      <w:r>
        <w:t xml:space="preserve"> </w:t>
      </w:r>
    </w:p>
    <w:sectPr w:rsidR="00125C47" w:rsidSect="006E4B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1C01" w14:textId="77777777" w:rsidR="00AF4296" w:rsidRDefault="00AF4296" w:rsidP="00C82EF6">
      <w:pPr>
        <w:spacing w:after="0" w:line="240" w:lineRule="auto"/>
      </w:pPr>
      <w:r>
        <w:separator/>
      </w:r>
    </w:p>
  </w:endnote>
  <w:endnote w:type="continuationSeparator" w:id="0">
    <w:p w14:paraId="60296297" w14:textId="77777777" w:rsidR="00AF4296" w:rsidRDefault="00AF4296" w:rsidP="00C8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D5EC" w14:textId="77777777" w:rsidR="00AF4296" w:rsidRDefault="00AF4296" w:rsidP="00C82EF6">
      <w:pPr>
        <w:spacing w:after="0" w:line="240" w:lineRule="auto"/>
      </w:pPr>
      <w:r>
        <w:separator/>
      </w:r>
    </w:p>
  </w:footnote>
  <w:footnote w:type="continuationSeparator" w:id="0">
    <w:p w14:paraId="6BDD3125" w14:textId="77777777" w:rsidR="00AF4296" w:rsidRDefault="00AF4296" w:rsidP="00C8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4"/>
      <w:gridCol w:w="4406"/>
      <w:gridCol w:w="2470"/>
      <w:gridCol w:w="845"/>
    </w:tblGrid>
    <w:tr w:rsidR="007D4D2C" w14:paraId="07126EE3" w14:textId="77777777" w:rsidTr="0073026A">
      <w:trPr>
        <w:trHeight w:val="1069"/>
        <w:jc w:val="center"/>
      </w:trPr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3341C22A" w14:textId="77777777" w:rsidR="007D4D2C" w:rsidRPr="007F1DC2" w:rsidRDefault="007D4D2C" w:rsidP="0073026A">
          <w:pPr>
            <w:pStyle w:val="a3"/>
            <w:rPr>
              <w:noProof/>
              <w:sz w:val="18"/>
              <w:lang w:eastAsia="en-US"/>
            </w:rPr>
          </w:pPr>
          <w:r w:rsidRPr="007F1DC2">
            <w:rPr>
              <w:noProof/>
              <w:sz w:val="18"/>
              <w:lang w:val="en-US"/>
            </w:rPr>
            <w:drawing>
              <wp:inline distT="0" distB="0" distL="0" distR="0" wp14:anchorId="4AF17301" wp14:editId="2BD5BD03">
                <wp:extent cx="1238250" cy="1247775"/>
                <wp:effectExtent l="0" t="0" r="0" b="9525"/>
                <wp:docPr id="1" name="Рисунок 36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2A04B" w14:textId="77777777" w:rsidR="007D4D2C" w:rsidRPr="007F1DC2" w:rsidRDefault="007D4D2C" w:rsidP="0073026A">
          <w:pPr>
            <w:pStyle w:val="a3"/>
            <w:jc w:val="center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14:paraId="518C51AF" w14:textId="77777777" w:rsidR="007D4D2C" w:rsidRPr="007F1DC2" w:rsidRDefault="007D4D2C" w:rsidP="0073026A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14:paraId="0F268AE8" w14:textId="77777777" w:rsidR="007D4D2C" w:rsidRPr="007F1DC2" w:rsidRDefault="007D4D2C" w:rsidP="0073026A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образования</w:t>
          </w:r>
        </w:p>
        <w:p w14:paraId="54ABA213" w14:textId="77777777" w:rsidR="007D4D2C" w:rsidRPr="007F1DC2" w:rsidRDefault="007D4D2C" w:rsidP="0073026A">
          <w:pPr>
            <w:pStyle w:val="a3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Министерства здравоохранения</w:t>
          </w:r>
          <w:r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</w:p>
        <w:p w14:paraId="57758ACB" w14:textId="77777777" w:rsidR="007D4D2C" w:rsidRPr="007F1DC2" w:rsidRDefault="007D4D2C" w:rsidP="0073026A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14:paraId="535A6A0F" w14:textId="77777777" w:rsidR="007D4D2C" w:rsidRPr="007F1DC2" w:rsidRDefault="007D4D2C" w:rsidP="0073026A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14:paraId="4EA392E5" w14:textId="77777777" w:rsidR="007D4D2C" w:rsidRPr="007F1DC2" w:rsidRDefault="007D4D2C" w:rsidP="0073026A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</w:t>
          </w:r>
          <w:r>
            <w:rPr>
              <w:rFonts w:ascii="Times New Roman" w:hAnsi="Times New Roman"/>
              <w:b/>
              <w:sz w:val="16"/>
              <w:szCs w:val="16"/>
            </w:rPr>
            <w:t>ра фармакологии и биоинформатики</w:t>
          </w:r>
        </w:p>
      </w:tc>
      <w:tc>
        <w:tcPr>
          <w:tcW w:w="2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474609" w14:textId="77777777" w:rsidR="007D4D2C" w:rsidRPr="00A07ADB" w:rsidRDefault="007D4D2C" w:rsidP="0073026A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Основная образовательная программа </w:t>
          </w:r>
        </w:p>
        <w:p w14:paraId="6D56C838" w14:textId="77777777" w:rsidR="007D4D2C" w:rsidRPr="00A07ADB" w:rsidRDefault="007D4D2C" w:rsidP="0073026A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направления подготовки </w:t>
          </w:r>
          <w:r>
            <w:rPr>
              <w:b/>
              <w:sz w:val="16"/>
              <w:szCs w:val="16"/>
            </w:rPr>
            <w:t>37</w:t>
          </w:r>
          <w:r w:rsidRPr="00FD0416">
            <w:rPr>
              <w:b/>
              <w:sz w:val="16"/>
              <w:szCs w:val="16"/>
            </w:rPr>
            <w:t>.05.01</w:t>
          </w:r>
          <w:r w:rsidRPr="00A07ADB">
            <w:rPr>
              <w:b/>
              <w:sz w:val="16"/>
              <w:szCs w:val="16"/>
            </w:rPr>
            <w:t xml:space="preserve"> «</w:t>
          </w:r>
          <w:r>
            <w:rPr>
              <w:b/>
              <w:sz w:val="16"/>
              <w:szCs w:val="16"/>
            </w:rPr>
            <w:t>Клиническая психология» (уровень специалитета)</w:t>
          </w:r>
        </w:p>
        <w:p w14:paraId="354BFD69" w14:textId="77777777" w:rsidR="007D4D2C" w:rsidRPr="00A07ADB" w:rsidRDefault="007D4D2C" w:rsidP="0073026A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</w:p>
        <w:p w14:paraId="3F4582BB" w14:textId="77777777" w:rsidR="007D4D2C" w:rsidRPr="00A07ADB" w:rsidRDefault="007D4D2C" w:rsidP="0073026A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Учебно-методический </w:t>
          </w:r>
        </w:p>
        <w:p w14:paraId="68B514C0" w14:textId="77777777" w:rsidR="007D4D2C" w:rsidRPr="00A07ADB" w:rsidRDefault="007D4D2C" w:rsidP="0073026A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>комплекс дисциплины</w:t>
          </w:r>
        </w:p>
        <w:p w14:paraId="05E9FB45" w14:textId="77777777" w:rsidR="007D4D2C" w:rsidRPr="00A07ADB" w:rsidRDefault="007D4D2C" w:rsidP="0073026A">
          <w:pPr>
            <w:pStyle w:val="a7"/>
            <w:spacing w:line="276" w:lineRule="auto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«ПСИХОФАРМАКОЛОГИЯ</w:t>
          </w:r>
          <w:r w:rsidRPr="00A07ADB">
            <w:rPr>
              <w:b/>
              <w:sz w:val="16"/>
              <w:szCs w:val="16"/>
            </w:rPr>
            <w:t>»</w:t>
          </w:r>
        </w:p>
      </w:tc>
      <w:tc>
        <w:tcPr>
          <w:tcW w:w="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5940A8" w14:textId="77777777" w:rsidR="007D4D2C" w:rsidRPr="007F1DC2" w:rsidRDefault="007D4D2C" w:rsidP="0073026A">
          <w:pPr>
            <w:pStyle w:val="a3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 w:rsidRPr="007F1DC2">
            <w:rPr>
              <w:rFonts w:ascii="Times New Roman" w:hAnsi="Times New Roman"/>
              <w:sz w:val="16"/>
              <w:szCs w:val="16"/>
            </w:rPr>
            <w:t xml:space="preserve">- </w: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F1DC2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256119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7F1DC2">
            <w:rPr>
              <w:rFonts w:ascii="Times New Roman" w:hAnsi="Times New Roman"/>
              <w:sz w:val="16"/>
              <w:szCs w:val="16"/>
            </w:rPr>
            <w:t xml:space="preserve"> -</w:t>
          </w:r>
        </w:p>
      </w:tc>
    </w:tr>
  </w:tbl>
  <w:p w14:paraId="6934A5B2" w14:textId="77777777" w:rsidR="007D4D2C" w:rsidRDefault="007D4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DA8"/>
    <w:multiLevelType w:val="hybridMultilevel"/>
    <w:tmpl w:val="BD2A78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4803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EF6"/>
    <w:rsid w:val="00057BE3"/>
    <w:rsid w:val="00107B25"/>
    <w:rsid w:val="00125C47"/>
    <w:rsid w:val="00154B36"/>
    <w:rsid w:val="00185E4B"/>
    <w:rsid w:val="00186F77"/>
    <w:rsid w:val="001E01C3"/>
    <w:rsid w:val="00256119"/>
    <w:rsid w:val="002A7D74"/>
    <w:rsid w:val="00370D81"/>
    <w:rsid w:val="003D5551"/>
    <w:rsid w:val="00421260"/>
    <w:rsid w:val="00530C66"/>
    <w:rsid w:val="005F4C8F"/>
    <w:rsid w:val="00627AD8"/>
    <w:rsid w:val="006A4D35"/>
    <w:rsid w:val="006E0FC5"/>
    <w:rsid w:val="006E4B8F"/>
    <w:rsid w:val="0073026A"/>
    <w:rsid w:val="0076149D"/>
    <w:rsid w:val="007D4D2C"/>
    <w:rsid w:val="00803745"/>
    <w:rsid w:val="008C1FE3"/>
    <w:rsid w:val="008F056D"/>
    <w:rsid w:val="008F7057"/>
    <w:rsid w:val="0093308B"/>
    <w:rsid w:val="00957BFF"/>
    <w:rsid w:val="009961B5"/>
    <w:rsid w:val="009D253E"/>
    <w:rsid w:val="00A01778"/>
    <w:rsid w:val="00AF4296"/>
    <w:rsid w:val="00B614B5"/>
    <w:rsid w:val="00B91B0C"/>
    <w:rsid w:val="00C05DAA"/>
    <w:rsid w:val="00C105EE"/>
    <w:rsid w:val="00C231AE"/>
    <w:rsid w:val="00C82EF6"/>
    <w:rsid w:val="00C92BD4"/>
    <w:rsid w:val="00CD42C0"/>
    <w:rsid w:val="00CF7CB0"/>
    <w:rsid w:val="00D45F01"/>
    <w:rsid w:val="00E46FC0"/>
    <w:rsid w:val="00E73393"/>
    <w:rsid w:val="00E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231793"/>
  <w15:docId w15:val="{B2250B21-4118-674D-BBC5-4405477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0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EF6"/>
    <w:pPr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EF6"/>
  </w:style>
  <w:style w:type="paragraph" w:styleId="a5">
    <w:name w:val="footer"/>
    <w:basedOn w:val="a"/>
    <w:link w:val="a6"/>
    <w:uiPriority w:val="99"/>
    <w:unhideWhenUsed/>
    <w:rsid w:val="00C8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EF6"/>
  </w:style>
  <w:style w:type="paragraph" w:styleId="a7">
    <w:name w:val="No Spacing"/>
    <w:uiPriority w:val="1"/>
    <w:qFormat/>
    <w:rsid w:val="00C8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EF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Body Text Indent"/>
    <w:basedOn w:val="a"/>
    <w:link w:val="a9"/>
    <w:rsid w:val="00C82EF6"/>
    <w:pPr>
      <w:spacing w:after="120"/>
      <w:ind w:left="283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82EF6"/>
    <w:rPr>
      <w:rFonts w:ascii="Calibri" w:eastAsia="Calibri" w:hAnsi="Calibri" w:cs="Times New Roman"/>
    </w:rPr>
  </w:style>
  <w:style w:type="paragraph" w:customStyle="1" w:styleId="xl26">
    <w:name w:val="xl26"/>
    <w:basedOn w:val="a"/>
    <w:rsid w:val="00C82EF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05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List Paragraph"/>
    <w:basedOn w:val="a"/>
    <w:link w:val="ab"/>
    <w:uiPriority w:val="34"/>
    <w:qFormat/>
    <w:rsid w:val="00C105EE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C105EE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627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тиль"/>
    <w:rsid w:val="00154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54B3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Заголовок Знак"/>
    <w:basedOn w:val="a0"/>
    <w:link w:val="ae"/>
    <w:rsid w:val="00154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5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Яковлев</dc:creator>
  <cp:keywords/>
  <dc:description/>
  <cp:lastModifiedBy>Microsoft Office User</cp:lastModifiedBy>
  <cp:revision>18</cp:revision>
  <cp:lastPrinted>2019-04-22T10:13:00Z</cp:lastPrinted>
  <dcterms:created xsi:type="dcterms:W3CDTF">2019-04-03T06:27:00Z</dcterms:created>
  <dcterms:modified xsi:type="dcterms:W3CDTF">2023-09-19T12:00:00Z</dcterms:modified>
</cp:coreProperties>
</file>