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995D" w14:textId="77777777" w:rsidR="00C82EF6" w:rsidRDefault="00C82EF6" w:rsidP="00C82EF6">
      <w:pPr>
        <w:pStyle w:val="3"/>
        <w:spacing w:after="0"/>
        <w:jc w:val="center"/>
      </w:pPr>
      <w:r>
        <w:t>Тематический план занятий лекционного типа</w:t>
      </w:r>
    </w:p>
    <w:p w14:paraId="5A2B5B67" w14:textId="77777777" w:rsidR="00C82EF6" w:rsidRDefault="00C82EF6" w:rsidP="00C82EF6">
      <w:pPr>
        <w:pStyle w:val="3"/>
        <w:spacing w:after="0"/>
        <w:jc w:val="center"/>
      </w:pPr>
      <w:r>
        <w:t>по дисциплине «</w:t>
      </w:r>
      <w:r w:rsidR="00A74C70">
        <w:t>Психоф</w:t>
      </w:r>
      <w:r>
        <w:t>армакология»</w:t>
      </w:r>
    </w:p>
    <w:p w14:paraId="4C5E575C" w14:textId="26F55987" w:rsidR="00C82EF6" w:rsidRDefault="00C82EF6" w:rsidP="00C82EF6">
      <w:pPr>
        <w:pStyle w:val="3"/>
        <w:spacing w:after="0"/>
        <w:jc w:val="center"/>
      </w:pPr>
      <w:r>
        <w:t>для обучающихся</w:t>
      </w:r>
    </w:p>
    <w:p w14:paraId="6AD5F868" w14:textId="77777777" w:rsidR="00856CDC" w:rsidRDefault="00856CDC" w:rsidP="00856CDC">
      <w:pPr>
        <w:pStyle w:val="af"/>
        <w:jc w:val="center"/>
        <w:rPr>
          <w:rFonts w:ascii="TimesNewRomanPSMT" w:hAnsi="TimesNewRomanPSMT"/>
          <w:b/>
          <w:bCs/>
        </w:rPr>
      </w:pPr>
      <w:r w:rsidRPr="000C4464">
        <w:rPr>
          <w:rFonts w:ascii="TimesNewRomanPSMT" w:hAnsi="TimesNewRomanPSMT"/>
          <w:b/>
          <w:bCs/>
        </w:rPr>
        <w:t>специалитет</w:t>
      </w:r>
      <w:r>
        <w:rPr>
          <w:rFonts w:ascii="TimesNewRomanPSMT" w:hAnsi="TimesNewRomanPSMT"/>
          <w:b/>
          <w:bCs/>
        </w:rPr>
        <w:t>а</w:t>
      </w:r>
      <w:r w:rsidRPr="000C4464">
        <w:rPr>
          <w:rFonts w:ascii="TimesNewRomanPSMT" w:hAnsi="TimesNewRomanPSMT"/>
          <w:b/>
          <w:bCs/>
        </w:rPr>
        <w:t xml:space="preserve"> </w:t>
      </w:r>
      <w:proofErr w:type="gramStart"/>
      <w:r w:rsidRPr="000C4464">
        <w:rPr>
          <w:rFonts w:ascii="TimesNewRomanPSMT" w:hAnsi="TimesNewRomanPSMT"/>
          <w:b/>
          <w:bCs/>
        </w:rPr>
        <w:t xml:space="preserve">по </w:t>
      </w:r>
      <w:r>
        <w:rPr>
          <w:rFonts w:ascii="TimesNewRomanPSMT" w:hAnsi="TimesNewRomanPSMT"/>
          <w:b/>
          <w:bCs/>
        </w:rPr>
        <w:t xml:space="preserve"> специальности</w:t>
      </w:r>
      <w:proofErr w:type="gramEnd"/>
      <w:r>
        <w:rPr>
          <w:rFonts w:ascii="TimesNewRomanPSMT" w:hAnsi="TimesNewRomanPSMT"/>
          <w:b/>
          <w:bCs/>
        </w:rPr>
        <w:t xml:space="preserve"> </w:t>
      </w:r>
      <w:r w:rsidRPr="000C4464">
        <w:rPr>
          <w:rFonts w:ascii="TimesNewRomanPSMT" w:hAnsi="TimesNewRomanPSMT"/>
          <w:b/>
          <w:bCs/>
        </w:rPr>
        <w:t xml:space="preserve">37.05.01 Клиническая психология, направленность Патопсихологическая диагностика и психотерапия </w:t>
      </w:r>
    </w:p>
    <w:p w14:paraId="761044FC" w14:textId="18EC1DA1" w:rsidR="00A74C70" w:rsidRPr="00856CDC" w:rsidRDefault="00C82EF6" w:rsidP="00856CDC">
      <w:pPr>
        <w:pStyle w:val="af"/>
        <w:jc w:val="center"/>
        <w:rPr>
          <w:b/>
          <w:bCs/>
        </w:rPr>
      </w:pPr>
      <w:r w:rsidRPr="00A74C70">
        <w:rPr>
          <w:b/>
        </w:rPr>
        <w:t>на 20</w:t>
      </w:r>
      <w:r w:rsidR="00222F70">
        <w:rPr>
          <w:b/>
        </w:rPr>
        <w:t>2</w:t>
      </w:r>
      <w:r w:rsidR="00046132">
        <w:rPr>
          <w:b/>
        </w:rPr>
        <w:t>3</w:t>
      </w:r>
      <w:r w:rsidRPr="00A74C70">
        <w:rPr>
          <w:b/>
        </w:rPr>
        <w:t>-20</w:t>
      </w:r>
      <w:r w:rsidR="00222F70">
        <w:rPr>
          <w:b/>
        </w:rPr>
        <w:t>2</w:t>
      </w:r>
      <w:r w:rsidR="00046132">
        <w:rPr>
          <w:b/>
        </w:rPr>
        <w:t>4</w:t>
      </w:r>
      <w:r w:rsidRPr="00A74C70">
        <w:rPr>
          <w:b/>
        </w:rPr>
        <w:t xml:space="preserve"> учебный год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406"/>
        <w:gridCol w:w="1260"/>
      </w:tblGrid>
      <w:tr w:rsidR="00A74C70" w:rsidRPr="00B15324" w14:paraId="65B27A80" w14:textId="77777777" w:rsidTr="0004198F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36D7B" w14:textId="77777777" w:rsidR="00A74C70" w:rsidRPr="003228DF" w:rsidRDefault="00A74C70" w:rsidP="0004198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228DF">
              <w:rPr>
                <w:rFonts w:ascii="Times New Roman" w:hAnsi="Times New Roman"/>
              </w:rPr>
              <w:t>№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C0449" w14:textId="77777777" w:rsidR="00A74C70" w:rsidRPr="00AB0897" w:rsidRDefault="00A74C70" w:rsidP="000419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97"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 лекционного типа</w:t>
            </w:r>
            <w:r w:rsidRPr="00AB0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6759" w14:textId="77777777" w:rsidR="00A74C70" w:rsidRPr="00AB0897" w:rsidRDefault="00A74C70" w:rsidP="000419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97">
              <w:rPr>
                <w:rFonts w:ascii="Times New Roman" w:hAnsi="Times New Roman"/>
                <w:b/>
                <w:bCs/>
                <w:sz w:val="24"/>
                <w:szCs w:val="24"/>
              </w:rPr>
              <w:t>Часы (академ.)</w:t>
            </w:r>
          </w:p>
        </w:tc>
      </w:tr>
      <w:tr w:rsidR="00A74C70" w:rsidRPr="00B15324" w14:paraId="1395E12D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12710C" w14:textId="77777777" w:rsidR="00A74C70" w:rsidRPr="00F66960" w:rsidRDefault="00A74C70" w:rsidP="00A74C70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3E5807C" w14:textId="2F4E665C" w:rsidR="00365BBD" w:rsidRPr="00365BBD" w:rsidRDefault="00A74C70" w:rsidP="00365BBD">
            <w:pPr>
              <w:pStyle w:val="ae"/>
              <w:ind w:hanging="17"/>
              <w:jc w:val="both"/>
              <w:rPr>
                <w:lang w:bidi="he-IL"/>
              </w:rPr>
            </w:pPr>
            <w:r w:rsidRPr="00AD6714">
              <w:rPr>
                <w:b/>
              </w:rPr>
              <w:t>Введение в психофармакологию</w:t>
            </w:r>
            <w:r>
              <w:t xml:space="preserve">. </w:t>
            </w:r>
            <w:r w:rsidRPr="00AD6714">
              <w:rPr>
                <w:b/>
              </w:rPr>
              <w:t>Проблемы и методы современной фармакологии.</w:t>
            </w:r>
            <w:r>
              <w:rPr>
                <w:b/>
              </w:rPr>
              <w:t xml:space="preserve"> </w:t>
            </w:r>
            <w:r w:rsidRPr="00E5225B">
              <w:rPr>
                <w:lang w:bidi="he-IL"/>
              </w:rPr>
              <w:t xml:space="preserve">Определение предмета, цели и задачи психофармакологии, роль психофармакологии среди других медико-биологических наук. </w:t>
            </w:r>
            <w:r w:rsidRPr="00252101">
              <w:t>Классификации лекарственных средств.</w:t>
            </w:r>
            <w:r>
              <w:t xml:space="preserve"> </w:t>
            </w:r>
            <w:r w:rsidRPr="00E5225B">
              <w:rPr>
                <w:lang w:bidi="he-IL"/>
              </w:rPr>
              <w:t>Принципы рациональной фармакотерапии</w:t>
            </w:r>
            <w:r>
              <w:rPr>
                <w:lang w:bidi="he-IL"/>
              </w:rPr>
              <w:t>.</w:t>
            </w:r>
            <w:r w:rsidRPr="002E37E1">
              <w:rPr>
                <w:vertAlign w:val="superscript"/>
              </w:rPr>
              <w:t xml:space="preserve"> </w:t>
            </w:r>
            <w:r w:rsidR="00365BBD" w:rsidRPr="00365BBD">
              <w:rPr>
                <w:lang w:bidi="he-IL"/>
              </w:rPr>
              <w:t>Принципы рациональной фарма</w:t>
            </w:r>
            <w:r w:rsidR="00AB0897">
              <w:rPr>
                <w:lang w:bidi="he-IL"/>
              </w:rPr>
              <w:t>котерапии.</w:t>
            </w:r>
            <w:r w:rsidR="00365BBD" w:rsidRPr="00365BBD">
              <w:rPr>
                <w:lang w:bidi="he-IL"/>
              </w:rPr>
              <w:t xml:space="preserve"> Источники фармакологической информации. Федеральный закон Российской Федерации «Об обращении лекарственных средств».</w:t>
            </w:r>
          </w:p>
          <w:p w14:paraId="5D879D18" w14:textId="189053A4" w:rsidR="00A74C70" w:rsidRPr="00B15324" w:rsidRDefault="00A74C70" w:rsidP="0004198F">
            <w:pPr>
              <w:pStyle w:val="ae"/>
              <w:ind w:hanging="17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A2835A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2BCE596D" w14:textId="77777777" w:rsidTr="0004198F">
        <w:trPr>
          <w:trHeight w:val="20"/>
        </w:trPr>
        <w:tc>
          <w:tcPr>
            <w:tcW w:w="6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EC27C7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BEF27B" w14:textId="3A66AD5A" w:rsidR="00A74C70" w:rsidRDefault="00A74C70" w:rsidP="0004198F">
            <w:pPr>
              <w:pStyle w:val="ae"/>
              <w:spacing w:before="40"/>
              <w:jc w:val="both"/>
            </w:pPr>
            <w:r w:rsidRPr="00AE6CF2">
              <w:rPr>
                <w:b/>
              </w:rPr>
              <w:t xml:space="preserve">Общая фармакология. Фармакокинетика и </w:t>
            </w:r>
            <w:proofErr w:type="spellStart"/>
            <w:r w:rsidRPr="00AE6CF2">
              <w:rPr>
                <w:b/>
              </w:rPr>
              <w:t>фармакодинамика</w:t>
            </w:r>
            <w:proofErr w:type="spellEnd"/>
            <w:r w:rsidRPr="00AE6CF2">
              <w:rPr>
                <w:b/>
              </w:rPr>
              <w:t>. Понятие о доказательной медицине</w:t>
            </w:r>
            <w:r>
              <w:t>.</w:t>
            </w:r>
            <w:r w:rsidRPr="004C230C">
              <w:rPr>
                <w:lang w:bidi="he-IL"/>
              </w:rPr>
              <w:t xml:space="preserve"> Основные фармакокинетические параметры</w:t>
            </w:r>
            <w:r>
              <w:rPr>
                <w:lang w:bidi="he-IL"/>
              </w:rPr>
              <w:t>.</w:t>
            </w:r>
            <w:r w:rsidR="00365BBD">
              <w:rPr>
                <w:lang w:bidi="he-IL"/>
              </w:rPr>
              <w:t xml:space="preserve"> </w:t>
            </w:r>
            <w:r w:rsidRPr="004C230C">
              <w:rPr>
                <w:lang w:bidi="he-IL"/>
              </w:rPr>
              <w:t>Значение фармакокинетических исследований в клинической практике</w:t>
            </w:r>
            <w:r>
              <w:rPr>
                <w:lang w:bidi="he-IL"/>
              </w:rPr>
              <w:t xml:space="preserve"> и</w:t>
            </w:r>
            <w:r w:rsidRPr="004C230C">
              <w:rPr>
                <w:lang w:bidi="he-IL"/>
              </w:rPr>
              <w:t xml:space="preserve"> их практическая значимость для разработки оптимального режима дозирования лекарственных средств. </w:t>
            </w:r>
          </w:p>
          <w:p w14:paraId="0EC8B1A4" w14:textId="77777777" w:rsidR="00365BBD" w:rsidRDefault="00A74C70" w:rsidP="0004198F">
            <w:pPr>
              <w:pStyle w:val="ae"/>
              <w:spacing w:before="40"/>
              <w:jc w:val="both"/>
              <w:rPr>
                <w:vertAlign w:val="superscript"/>
              </w:rPr>
            </w:pPr>
            <w:r w:rsidRPr="004C230C">
              <w:rPr>
                <w:lang w:bidi="he-IL"/>
              </w:rPr>
              <w:t xml:space="preserve"> О</w:t>
            </w:r>
            <w:r>
              <w:rPr>
                <w:lang w:bidi="he-IL"/>
              </w:rPr>
              <w:t xml:space="preserve">сновные понятия </w:t>
            </w:r>
            <w:proofErr w:type="spellStart"/>
            <w:r>
              <w:rPr>
                <w:lang w:bidi="he-IL"/>
              </w:rPr>
              <w:t>фармакодинамики</w:t>
            </w:r>
            <w:proofErr w:type="spellEnd"/>
            <w:r w:rsidRPr="004C230C">
              <w:rPr>
                <w:lang w:bidi="he-IL"/>
              </w:rPr>
              <w:t xml:space="preserve">. Виды действия лекарственных средств. Фармакологические эффекты (основные, побочные, токсические). </w:t>
            </w:r>
            <w:r w:rsidRPr="002A2FDA">
              <w:rPr>
                <w:lang w:bidi="he-IL"/>
              </w:rPr>
              <w:t xml:space="preserve">Зависимость фармакотерапевтического эффекта от свойств лекарственных </w:t>
            </w:r>
            <w:r w:rsidRPr="002A2FDA">
              <w:rPr>
                <w:bCs/>
                <w:lang w:bidi="he-IL"/>
              </w:rPr>
              <w:t>средств</w:t>
            </w:r>
            <w:r w:rsidRPr="002A2FDA">
              <w:rPr>
                <w:lang w:bidi="he-IL"/>
              </w:rPr>
              <w:t xml:space="preserve"> и их применения</w:t>
            </w:r>
            <w:r>
              <w:rPr>
                <w:b/>
                <w:lang w:bidi="he-IL"/>
              </w:rPr>
              <w:t>.</w:t>
            </w:r>
            <w:r>
              <w:rPr>
                <w:lang w:bidi="he-IL"/>
              </w:rPr>
              <w:t xml:space="preserve"> </w:t>
            </w:r>
            <w:r w:rsidRPr="006B219F">
              <w:rPr>
                <w:lang w:bidi="he-IL"/>
              </w:rPr>
              <w:t>Базовые принципы лечения острых отравлений фармакологическими средствами</w:t>
            </w:r>
            <w:r>
              <w:rPr>
                <w:lang w:bidi="he-IL"/>
              </w:rPr>
              <w:t>.</w:t>
            </w:r>
            <w:r w:rsidRPr="002E37E1">
              <w:rPr>
                <w:vertAlign w:val="superscript"/>
              </w:rPr>
              <w:t xml:space="preserve"> </w:t>
            </w:r>
          </w:p>
          <w:p w14:paraId="6D6935D1" w14:textId="44539D7F" w:rsidR="00A74C70" w:rsidRPr="00B15324" w:rsidRDefault="00365BBD" w:rsidP="0004198F">
            <w:pPr>
              <w:pStyle w:val="ae"/>
              <w:spacing w:before="40"/>
              <w:jc w:val="both"/>
            </w:pPr>
            <w:r w:rsidRPr="00365BBD">
              <w:rPr>
                <w:lang w:bidi="he-IL"/>
              </w:rPr>
              <w:t>Основы доказательной медицины, уровни достоверности эффективности лекарственных средств.</w:t>
            </w:r>
            <w:r w:rsidRPr="00E728E7">
              <w:rPr>
                <w:sz w:val="18"/>
                <w:lang w:bidi="he-IL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428AA8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13E2DD12" w14:textId="77777777" w:rsidTr="0004198F">
        <w:trPr>
          <w:trHeight w:val="20"/>
        </w:trPr>
        <w:tc>
          <w:tcPr>
            <w:tcW w:w="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70F5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F2FFB" w14:textId="73702022" w:rsidR="00A74C70" w:rsidRPr="005506C2" w:rsidRDefault="00A74C70" w:rsidP="0004198F">
            <w:pPr>
              <w:pStyle w:val="ae"/>
              <w:jc w:val="both"/>
            </w:pPr>
            <w:r w:rsidRPr="00236983">
              <w:rPr>
                <w:b/>
              </w:rPr>
              <w:t>Введение в фармакологию центральной и периферической нервной системы</w:t>
            </w:r>
            <w:r>
              <w:t>.</w:t>
            </w:r>
            <w:r w:rsidRPr="005506C2">
              <w:t xml:space="preserve"> </w:t>
            </w:r>
            <w:r w:rsidRPr="00842C7D">
              <w:rPr>
                <w:iCs/>
                <w:lang w:bidi="he-IL"/>
              </w:rPr>
              <w:t>Строение периферической афферентной и эфферентной нервной системы. Соматический и вегетативный отделы эфферентной нервной системы</w:t>
            </w:r>
            <w:r>
              <w:rPr>
                <w:iCs/>
                <w:lang w:bidi="he-IL"/>
              </w:rPr>
              <w:t xml:space="preserve">. </w:t>
            </w:r>
            <w:r w:rsidRPr="00842C7D">
              <w:rPr>
                <w:iCs/>
                <w:lang w:bidi="he-IL"/>
              </w:rPr>
              <w:t>Нейромедиаторы эфферентной нервной системы.</w:t>
            </w:r>
            <w:r w:rsidR="0004198F">
              <w:rPr>
                <w:iCs/>
                <w:lang w:bidi="he-IL"/>
              </w:rPr>
              <w:t xml:space="preserve"> </w:t>
            </w:r>
            <w:r w:rsidRPr="001968EE">
              <w:rPr>
                <w:lang w:bidi="he-IL"/>
              </w:rPr>
              <w:t xml:space="preserve">Основные медиаторы центральной нервной системы. Точки воздействия на центральную </w:t>
            </w:r>
            <w:proofErr w:type="spellStart"/>
            <w:r w:rsidRPr="001968EE">
              <w:rPr>
                <w:lang w:bidi="he-IL"/>
              </w:rPr>
              <w:t>нейротрансмиссию</w:t>
            </w:r>
            <w:proofErr w:type="spellEnd"/>
            <w:r w:rsidRPr="001968EE">
              <w:rPr>
                <w:lang w:bidi="he-IL"/>
              </w:rPr>
              <w:t xml:space="preserve">. Избирательность действия, центральных </w:t>
            </w:r>
            <w:proofErr w:type="spellStart"/>
            <w:r w:rsidRPr="001968EE">
              <w:rPr>
                <w:lang w:bidi="he-IL"/>
              </w:rPr>
              <w:t>нейротропных</w:t>
            </w:r>
            <w:proofErr w:type="spellEnd"/>
            <w:r w:rsidRPr="001968EE">
              <w:rPr>
                <w:lang w:bidi="he-IL"/>
              </w:rPr>
              <w:t xml:space="preserve"> средств стимулирующего и угнетающего действия. Понятие о психотропных средствах</w:t>
            </w:r>
            <w:r>
              <w:rPr>
                <w:lang w:bidi="he-IL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0AD3E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19EB060E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C233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38F1DD05" w14:textId="4455F41F" w:rsidR="00A74C70" w:rsidRPr="00FA214D" w:rsidRDefault="00A74C70" w:rsidP="0004198F">
            <w:pPr>
              <w:pStyle w:val="ae"/>
              <w:spacing w:before="40"/>
              <w:jc w:val="both"/>
              <w:rPr>
                <w:lang w:bidi="he-IL"/>
              </w:rPr>
            </w:pPr>
            <w:r w:rsidRPr="00FA1103">
              <w:rPr>
                <w:b/>
              </w:rPr>
              <w:t>Снотворные и противосудорожные средства. Этиловый спирт.</w:t>
            </w:r>
            <w:r w:rsidRPr="001968EE">
              <w:rPr>
                <w:lang w:bidi="he-IL"/>
              </w:rPr>
              <w:t xml:space="preserve"> Классификация снотворных средств. Механизмы снотворного дейст</w:t>
            </w:r>
            <w:r>
              <w:rPr>
                <w:lang w:bidi="he-IL"/>
              </w:rPr>
              <w:t xml:space="preserve">вия, влияние на структуру сна. </w:t>
            </w:r>
            <w:r w:rsidRPr="001968EE">
              <w:rPr>
                <w:lang w:bidi="he-IL"/>
              </w:rPr>
              <w:t>Побочное действие снотворных средств, их способность вызывать зависимость. Интоксикация снотворными средствами, принципы фармакотерапии</w:t>
            </w:r>
            <w:r>
              <w:rPr>
                <w:lang w:bidi="he-IL"/>
              </w:rPr>
              <w:t xml:space="preserve">. </w:t>
            </w:r>
            <w:r w:rsidRPr="001968EE">
              <w:rPr>
                <w:lang w:bidi="he-IL"/>
              </w:rPr>
              <w:t>Механизм</w:t>
            </w:r>
            <w:r>
              <w:rPr>
                <w:lang w:bidi="he-IL"/>
              </w:rPr>
              <w:t>ы действия противосудорожных</w:t>
            </w:r>
            <w:r w:rsidRPr="001968EE">
              <w:rPr>
                <w:lang w:bidi="he-IL"/>
              </w:rPr>
              <w:t xml:space="preserve"> средств. Классификация противоэпилептических средств по механизму действия и клиническому применению при различных типах эпилептических приступов. Сравнительная х</w:t>
            </w:r>
            <w:r>
              <w:rPr>
                <w:lang w:bidi="he-IL"/>
              </w:rPr>
              <w:t>арактеристика.</w:t>
            </w:r>
            <w:r w:rsidRPr="001968EE">
              <w:rPr>
                <w:lang w:bidi="he-IL"/>
              </w:rPr>
              <w:t xml:space="preserve"> Психотропные эффекты противоэпилептических средств.</w:t>
            </w:r>
            <w:r>
              <w:rPr>
                <w:lang w:bidi="he-IL"/>
              </w:rPr>
              <w:t xml:space="preserve"> Местное и р</w:t>
            </w:r>
            <w:r w:rsidRPr="001968EE">
              <w:rPr>
                <w:lang w:bidi="he-IL"/>
              </w:rPr>
              <w:t>езорбтивное</w:t>
            </w:r>
            <w:r>
              <w:rPr>
                <w:lang w:bidi="he-IL"/>
              </w:rPr>
              <w:t xml:space="preserve"> действие этилового спирта,</w:t>
            </w:r>
            <w:r w:rsidRPr="001968EE">
              <w:rPr>
                <w:lang w:bidi="he-IL"/>
              </w:rPr>
              <w:t xml:space="preserve"> зависимость от концентрации этанола. Применение в медицинской практике. Острое</w:t>
            </w:r>
            <w:r>
              <w:rPr>
                <w:lang w:bidi="he-IL"/>
              </w:rPr>
              <w:t xml:space="preserve"> и хроническое</w:t>
            </w:r>
            <w:r w:rsidRPr="001968EE">
              <w:rPr>
                <w:lang w:bidi="he-IL"/>
              </w:rPr>
              <w:t xml:space="preserve"> отравление спиртом этиловым, его социальные аспекты, п</w:t>
            </w:r>
            <w:r>
              <w:rPr>
                <w:lang w:bidi="he-IL"/>
              </w:rPr>
              <w:t xml:space="preserve">ринципы лечения.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CF07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616270" w14:paraId="3FA168A8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3F7A3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1D06" w14:textId="30832A98" w:rsidR="00A74C70" w:rsidRPr="00FA1103" w:rsidRDefault="00A74C70" w:rsidP="0004198F">
            <w:pPr>
              <w:pStyle w:val="ae"/>
              <w:spacing w:before="40"/>
              <w:jc w:val="both"/>
              <w:rPr>
                <w:b/>
              </w:rPr>
            </w:pPr>
            <w:proofErr w:type="spellStart"/>
            <w:r w:rsidRPr="00FA1103">
              <w:rPr>
                <w:b/>
              </w:rPr>
              <w:t>Психоугнетающие</w:t>
            </w:r>
            <w:proofErr w:type="spellEnd"/>
            <w:r w:rsidRPr="00FA1103">
              <w:rPr>
                <w:b/>
              </w:rPr>
              <w:t xml:space="preserve"> средства: нейролептики, </w:t>
            </w:r>
            <w:proofErr w:type="spellStart"/>
            <w:r>
              <w:rPr>
                <w:b/>
              </w:rPr>
              <w:t>анксиолитики</w:t>
            </w:r>
            <w:proofErr w:type="spellEnd"/>
            <w:r>
              <w:rPr>
                <w:b/>
              </w:rPr>
              <w:t>. Антидепрессанты.</w:t>
            </w:r>
            <w:r w:rsidRPr="00FA1103">
              <w:rPr>
                <w:b/>
              </w:rPr>
              <w:t xml:space="preserve"> </w:t>
            </w:r>
            <w:r>
              <w:rPr>
                <w:lang w:bidi="he-IL"/>
              </w:rPr>
              <w:t>Классификация, основные эффекты, м</w:t>
            </w:r>
            <w:r w:rsidRPr="00DC256F">
              <w:rPr>
                <w:lang w:bidi="he-IL"/>
              </w:rPr>
              <w:t>еханизмы действия</w:t>
            </w:r>
            <w:r>
              <w:rPr>
                <w:lang w:bidi="he-IL"/>
              </w:rPr>
              <w:t xml:space="preserve"> нейролептиков</w:t>
            </w:r>
            <w:r w:rsidRPr="00DC256F">
              <w:rPr>
                <w:lang w:bidi="he-IL"/>
              </w:rPr>
              <w:t xml:space="preserve">. Влияние на </w:t>
            </w:r>
            <w:proofErr w:type="spellStart"/>
            <w:r w:rsidRPr="00DC256F">
              <w:rPr>
                <w:lang w:bidi="he-IL"/>
              </w:rPr>
              <w:t>дофаминергические</w:t>
            </w:r>
            <w:proofErr w:type="spellEnd"/>
            <w:r w:rsidRPr="00DC256F">
              <w:rPr>
                <w:lang w:bidi="he-IL"/>
              </w:rPr>
              <w:t xml:space="preserve"> и другие </w:t>
            </w:r>
            <w:proofErr w:type="spellStart"/>
            <w:r w:rsidRPr="00DC256F">
              <w:rPr>
                <w:lang w:bidi="he-IL"/>
              </w:rPr>
              <w:t>нейромедиаторные</w:t>
            </w:r>
            <w:proofErr w:type="spellEnd"/>
            <w:r w:rsidRPr="00DC256F">
              <w:rPr>
                <w:lang w:bidi="he-IL"/>
              </w:rPr>
              <w:t xml:space="preserve"> процессы в ЦНС и периферических тканях. Применение антипсихотических средств в медицинской практике. Побочные эффекты нейролептиков, способы их коррекции. </w:t>
            </w:r>
            <w:r>
              <w:rPr>
                <w:lang w:bidi="he-IL"/>
              </w:rPr>
              <w:t xml:space="preserve">Классификация и механизмы действия </w:t>
            </w:r>
            <w:proofErr w:type="spellStart"/>
            <w:r>
              <w:rPr>
                <w:lang w:bidi="he-IL"/>
              </w:rPr>
              <w:t>анксиолитиков</w:t>
            </w:r>
            <w:proofErr w:type="spellEnd"/>
            <w:r>
              <w:rPr>
                <w:lang w:bidi="he-IL"/>
              </w:rPr>
              <w:t>, п</w:t>
            </w:r>
            <w:r w:rsidRPr="00DC256F">
              <w:rPr>
                <w:lang w:bidi="he-IL"/>
              </w:rPr>
              <w:t>оказания к применению</w:t>
            </w:r>
            <w:r>
              <w:rPr>
                <w:lang w:bidi="he-IL"/>
              </w:rPr>
              <w:t>, п</w:t>
            </w:r>
            <w:r w:rsidRPr="00DC256F">
              <w:rPr>
                <w:lang w:bidi="he-IL"/>
              </w:rPr>
              <w:t>обочн</w:t>
            </w:r>
            <w:r>
              <w:rPr>
                <w:lang w:bidi="he-IL"/>
              </w:rPr>
              <w:t>ые эффекты, в</w:t>
            </w:r>
            <w:r w:rsidRPr="00DC256F">
              <w:rPr>
                <w:lang w:bidi="he-IL"/>
              </w:rPr>
              <w:t xml:space="preserve">озможность развития лекарственной зависимости. </w:t>
            </w:r>
            <w:r>
              <w:rPr>
                <w:lang w:bidi="he-IL"/>
              </w:rPr>
              <w:t>Антидепрессанты - и</w:t>
            </w:r>
            <w:r w:rsidRPr="00DC256F">
              <w:rPr>
                <w:lang w:bidi="he-IL"/>
              </w:rPr>
              <w:t>нгибиторы обратного нейронально</w:t>
            </w:r>
            <w:r>
              <w:rPr>
                <w:lang w:bidi="he-IL"/>
              </w:rPr>
              <w:t xml:space="preserve">го захвата моноаминов </w:t>
            </w:r>
            <w:r w:rsidRPr="00DC256F">
              <w:rPr>
                <w:lang w:bidi="he-IL"/>
              </w:rPr>
              <w:t xml:space="preserve"> неизбирательного и избирательног</w:t>
            </w:r>
            <w:r>
              <w:rPr>
                <w:lang w:bidi="he-IL"/>
              </w:rPr>
              <w:t xml:space="preserve">о действия. </w:t>
            </w:r>
            <w:r w:rsidRPr="00DC256F">
              <w:rPr>
                <w:lang w:bidi="he-IL"/>
              </w:rPr>
              <w:t>Ингибиторы МАО неизбирательного и избирательного действия.  Сравнительная оценка отдельны</w:t>
            </w:r>
            <w:r>
              <w:rPr>
                <w:lang w:bidi="he-IL"/>
              </w:rPr>
              <w:t>х препаратов. Побочные эффекты.</w:t>
            </w:r>
            <w:r w:rsidRPr="002E37E1">
              <w:rPr>
                <w:vertAlign w:val="super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7634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490481F4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BE9D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4EBF" w14:textId="3305E130" w:rsidR="00A74C70" w:rsidRPr="00B15324" w:rsidRDefault="00A74C70" w:rsidP="0004198F">
            <w:pPr>
              <w:pStyle w:val="ae"/>
              <w:spacing w:before="40"/>
              <w:jc w:val="both"/>
            </w:pPr>
            <w:r w:rsidRPr="00FA1103">
              <w:rPr>
                <w:b/>
              </w:rPr>
              <w:t>Психостимулирующие средства</w:t>
            </w:r>
            <w:r w:rsidRPr="00080C58">
              <w:t>.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DC256F">
              <w:rPr>
                <w:lang w:bidi="he-IL"/>
              </w:rPr>
              <w:t>Классификация. Механизмы психостимулирующего действия. Сравнительная харак</w:t>
            </w:r>
            <w:r w:rsidRPr="00DC256F">
              <w:rPr>
                <w:lang w:bidi="he-IL"/>
              </w:rPr>
              <w:softHyphen/>
              <w:t xml:space="preserve">теристика психостимулирующих средств. Влияние на сердечно-сосудистую систему. Показания к применению. Побочные эффекты. Возможность развития лекарственной зависимости.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DAB0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32A66263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5CAF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286C2" w14:textId="039CAB5C" w:rsidR="00A74C70" w:rsidRPr="00080C58" w:rsidRDefault="00A74C70" w:rsidP="0004198F">
            <w:pPr>
              <w:pStyle w:val="ae"/>
              <w:spacing w:before="40"/>
              <w:jc w:val="both"/>
            </w:pPr>
            <w:r w:rsidRPr="00FA1103">
              <w:rPr>
                <w:b/>
              </w:rPr>
              <w:t>Болеутоляющие  (анальгезирующие) средства</w:t>
            </w:r>
            <w:r>
              <w:t xml:space="preserve">. </w:t>
            </w:r>
            <w:r w:rsidRPr="00DC256F">
              <w:rPr>
                <w:lang w:bidi="he-IL"/>
              </w:rPr>
              <w:t>Восприятие и регуляция</w:t>
            </w:r>
            <w:r w:rsidRPr="00DC256F">
              <w:rPr>
                <w:i/>
                <w:lang w:bidi="he-IL"/>
              </w:rPr>
              <w:t xml:space="preserve"> </w:t>
            </w:r>
            <w:r w:rsidRPr="00DC256F">
              <w:rPr>
                <w:lang w:bidi="he-IL"/>
              </w:rPr>
              <w:t>боли. Виды боли. Опиоидные рецепто</w:t>
            </w:r>
            <w:r>
              <w:rPr>
                <w:lang w:bidi="he-IL"/>
              </w:rPr>
              <w:t xml:space="preserve">ры и их эндогенные </w:t>
            </w:r>
            <w:proofErr w:type="spellStart"/>
            <w:r>
              <w:rPr>
                <w:lang w:bidi="he-IL"/>
              </w:rPr>
              <w:t>лиганды</w:t>
            </w:r>
            <w:proofErr w:type="spellEnd"/>
            <w:r>
              <w:rPr>
                <w:lang w:bidi="he-IL"/>
              </w:rPr>
              <w:t xml:space="preserve">. </w:t>
            </w:r>
            <w:r w:rsidRPr="00DC256F">
              <w:rPr>
                <w:lang w:bidi="he-IL"/>
              </w:rPr>
              <w:t>Классификация</w:t>
            </w:r>
            <w:r>
              <w:rPr>
                <w:lang w:bidi="he-IL"/>
              </w:rPr>
              <w:t xml:space="preserve"> </w:t>
            </w:r>
            <w:r w:rsidRPr="0072665B">
              <w:rPr>
                <w:lang w:bidi="he-IL"/>
              </w:rPr>
              <w:t>о</w:t>
            </w:r>
            <w:r>
              <w:rPr>
                <w:lang w:bidi="he-IL"/>
              </w:rPr>
              <w:t>пиоидных анальгетиков</w:t>
            </w:r>
            <w:r w:rsidRPr="0072665B">
              <w:rPr>
                <w:lang w:bidi="he-IL"/>
              </w:rPr>
              <w:t xml:space="preserve"> </w:t>
            </w:r>
            <w:r w:rsidRPr="00DC256F">
              <w:rPr>
                <w:lang w:bidi="he-IL"/>
              </w:rPr>
              <w:t xml:space="preserve">по химической структуре и взаимодействию с разными подтипами опиоидных рецепторов. Механизмы анальгетического действия. </w:t>
            </w:r>
            <w:r>
              <w:rPr>
                <w:lang w:bidi="he-IL"/>
              </w:rPr>
              <w:t xml:space="preserve">Побочные эффекты. </w:t>
            </w:r>
            <w:r w:rsidRPr="00DC256F">
              <w:rPr>
                <w:lang w:bidi="he-IL"/>
              </w:rPr>
              <w:t>Лекарственная зависимость. Интоксикация опиоидными ан</w:t>
            </w:r>
            <w:r>
              <w:rPr>
                <w:lang w:bidi="he-IL"/>
              </w:rPr>
              <w:t>альгетиками, принципы лечения.</w:t>
            </w:r>
            <w:r w:rsidRPr="00DC256F">
              <w:rPr>
                <w:lang w:bidi="he-IL"/>
              </w:rPr>
              <w:t xml:space="preserve"> Классификация</w:t>
            </w:r>
            <w:r>
              <w:rPr>
                <w:lang w:bidi="he-IL"/>
              </w:rPr>
              <w:t>, механизм действия, фармакологические эффекты</w:t>
            </w:r>
            <w:r w:rsidRPr="00DC256F">
              <w:rPr>
                <w:b/>
                <w:i/>
                <w:lang w:bidi="he-IL"/>
              </w:rPr>
              <w:t xml:space="preserve"> </w:t>
            </w:r>
            <w:r>
              <w:rPr>
                <w:lang w:bidi="he-IL"/>
              </w:rPr>
              <w:t>ненаркотических анальгетиков, побочные эффекты, применение</w:t>
            </w:r>
            <w:r w:rsidRPr="00DC256F">
              <w:rPr>
                <w:lang w:bidi="he-IL"/>
              </w:rPr>
              <w:t xml:space="preserve">. Препараты разных фармакологических групп с анальгетическим компонентом действия. Механизмы  болеутоляющего действия. Применение. </w:t>
            </w:r>
            <w:r w:rsidRPr="00C24E9E">
              <w:rPr>
                <w:lang w:bidi="he-IL"/>
              </w:rPr>
              <w:t>Анальгетики со смешанным механизмом действия (опиоидный-</w:t>
            </w:r>
            <w:proofErr w:type="spellStart"/>
            <w:r w:rsidRPr="00C24E9E">
              <w:rPr>
                <w:lang w:bidi="he-IL"/>
              </w:rPr>
              <w:t>неопиоидный</w:t>
            </w:r>
            <w:proofErr w:type="spellEnd"/>
            <w:r w:rsidRPr="00C24E9E">
              <w:rPr>
                <w:lang w:bidi="he-IL"/>
              </w:rPr>
              <w:t>).</w:t>
            </w:r>
            <w:r w:rsidRPr="00DC256F">
              <w:rPr>
                <w:b/>
                <w:i/>
                <w:lang w:bidi="he-IL"/>
              </w:rPr>
              <w:t xml:space="preserve"> </w:t>
            </w:r>
            <w:r w:rsidRPr="00DC256F">
              <w:rPr>
                <w:lang w:bidi="he-IL"/>
              </w:rPr>
              <w:lastRenderedPageBreak/>
              <w:t>Отличия от опиоидных средств. Показа</w:t>
            </w:r>
            <w:r>
              <w:rPr>
                <w:lang w:bidi="he-IL"/>
              </w:rPr>
              <w:t>ния к применению. Побочные эффекты.</w:t>
            </w:r>
            <w:r w:rsidRPr="002E37E1">
              <w:rPr>
                <w:vertAlign w:val="super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8A82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</w:tr>
      <w:tr w:rsidR="00A74C70" w:rsidRPr="00B15324" w14:paraId="515B28BC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3C8B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6C66" w14:textId="6EA0534D" w:rsidR="00A74C70" w:rsidRPr="00B15324" w:rsidRDefault="00A74C70" w:rsidP="0004198F">
            <w:pPr>
              <w:jc w:val="both"/>
            </w:pPr>
            <w:r w:rsidRPr="00A043C7">
              <w:rPr>
                <w:rFonts w:ascii="Times New Roman" w:hAnsi="Times New Roman"/>
                <w:b/>
                <w:sz w:val="24"/>
                <w:szCs w:val="24"/>
              </w:rPr>
              <w:t>Вещества, вызывающие лекарственную зависимость. Понятие о наркомании и токсикомании</w:t>
            </w:r>
            <w:r w:rsidRPr="00A043C7">
              <w:rPr>
                <w:rFonts w:ascii="Times New Roman" w:hAnsi="Times New Roman"/>
                <w:sz w:val="24"/>
                <w:szCs w:val="24"/>
              </w:rPr>
              <w:t>.</w:t>
            </w:r>
            <w:r w:rsidRPr="00A043C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Классификация средств, вызывающих зависимость. Принципы терапии наркомании и токсикомании. Профилактика использования лекарственных средств в немедицинских</w:t>
            </w:r>
            <w:r w:rsidRPr="0060311F">
              <w:rPr>
                <w:lang w:bidi="he-IL"/>
              </w:rPr>
              <w:t xml:space="preserve"> </w:t>
            </w:r>
            <w:r w:rsidRPr="00325117">
              <w:rPr>
                <w:rFonts w:ascii="Times New Roman" w:hAnsi="Times New Roman"/>
                <w:sz w:val="24"/>
                <w:szCs w:val="24"/>
                <w:lang w:bidi="he-IL"/>
              </w:rPr>
              <w:t>целях.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5EF8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4A9B1CC3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8991" w14:textId="77777777" w:rsidR="00A74C70" w:rsidRPr="00B15324" w:rsidRDefault="00A74C70" w:rsidP="00A74C70">
            <w:pPr>
              <w:pStyle w:val="xl26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4E47" w14:textId="77777777" w:rsidR="00A74C70" w:rsidRPr="00BA543D" w:rsidRDefault="00A74C70" w:rsidP="0004198F">
            <w:pPr>
              <w:pStyle w:val="ae"/>
              <w:spacing w:before="40"/>
              <w:jc w:val="both"/>
              <w:rPr>
                <w:lang w:bidi="he-IL"/>
              </w:rPr>
            </w:pPr>
            <w:r w:rsidRPr="00FA1103">
              <w:rPr>
                <w:b/>
              </w:rPr>
              <w:t>Нежелательные реакции при применении лекарственных средств. Токсические эффекты лекарственных средств</w:t>
            </w:r>
            <w:r>
              <w:rPr>
                <w:vertAlign w:val="superscript"/>
              </w:rPr>
              <w:t>1</w:t>
            </w:r>
            <w:r w:rsidRPr="00FA1103">
              <w:rPr>
                <w:b/>
              </w:rPr>
              <w:t>.</w:t>
            </w:r>
            <w:r>
              <w:rPr>
                <w:lang w:bidi="he-IL"/>
              </w:rPr>
              <w:t xml:space="preserve"> </w:t>
            </w:r>
            <w:r w:rsidRPr="0060311F">
              <w:rPr>
                <w:lang w:bidi="he-IL"/>
              </w:rPr>
              <w:t>Классификация. Механизм развития побочных эффектов.   Зависимость их развития от путей введения, скорость развития лекарственной терапии.</w:t>
            </w:r>
          </w:p>
          <w:p w14:paraId="34EFC206" w14:textId="1864F0A1" w:rsidR="00A74C70" w:rsidRPr="008F646C" w:rsidRDefault="00A74C70" w:rsidP="0004198F">
            <w:pPr>
              <w:pStyle w:val="ae"/>
              <w:spacing w:before="40"/>
              <w:jc w:val="both"/>
              <w:rPr>
                <w:lang w:bidi="he-IL"/>
              </w:rPr>
            </w:pPr>
            <w:r w:rsidRPr="00C607C6">
              <w:rPr>
                <w:lang w:bidi="he-IL"/>
              </w:rPr>
              <w:t>Психотропные токсические эффекты различных фармакологических групп</w:t>
            </w:r>
            <w:r w:rsidRPr="00BA543D">
              <w:rPr>
                <w:b/>
                <w:lang w:bidi="he-IL"/>
              </w:rPr>
              <w:t xml:space="preserve"> –</w:t>
            </w:r>
            <w:r>
              <w:rPr>
                <w:lang w:bidi="he-IL"/>
              </w:rPr>
              <w:t xml:space="preserve"> </w:t>
            </w:r>
            <w:r w:rsidRPr="00BA543D">
              <w:rPr>
                <w:lang w:bidi="he-IL"/>
              </w:rPr>
              <w:t>лекарственных средств, влияю</w:t>
            </w:r>
            <w:r>
              <w:rPr>
                <w:lang w:bidi="he-IL"/>
              </w:rPr>
              <w:t xml:space="preserve">щих на ЦНС, функции органов дыхания, </w:t>
            </w:r>
            <w:r w:rsidRPr="00BA543D">
              <w:rPr>
                <w:lang w:bidi="he-IL"/>
              </w:rPr>
              <w:t>на сердечно-сосудистую си</w:t>
            </w:r>
            <w:r>
              <w:rPr>
                <w:lang w:bidi="he-IL"/>
              </w:rPr>
              <w:t>стему</w:t>
            </w:r>
            <w:r w:rsidRPr="00BA543D">
              <w:rPr>
                <w:lang w:bidi="he-IL"/>
              </w:rPr>
              <w:t>,</w:t>
            </w:r>
            <w:r>
              <w:rPr>
                <w:lang w:bidi="he-IL"/>
              </w:rPr>
              <w:t xml:space="preserve"> л</w:t>
            </w:r>
            <w:r w:rsidRPr="00BA543D">
              <w:rPr>
                <w:lang w:bidi="he-IL"/>
              </w:rPr>
              <w:t>екарственных средств, применяемых при нарушении мозгового кровообращения,</w:t>
            </w:r>
            <w:r>
              <w:rPr>
                <w:lang w:bidi="he-IL"/>
              </w:rPr>
              <w:t xml:space="preserve"> препаратов,</w:t>
            </w:r>
            <w:r w:rsidRPr="00BA543D">
              <w:rPr>
                <w:lang w:bidi="he-IL"/>
              </w:rPr>
              <w:t xml:space="preserve"> влияющих на </w:t>
            </w:r>
            <w:proofErr w:type="spellStart"/>
            <w:r>
              <w:rPr>
                <w:lang w:bidi="he-IL"/>
              </w:rPr>
              <w:t>миометрий</w:t>
            </w:r>
            <w:proofErr w:type="spellEnd"/>
            <w:r>
              <w:rPr>
                <w:lang w:bidi="he-IL"/>
              </w:rPr>
              <w:t xml:space="preserve">,  гормональных </w:t>
            </w:r>
            <w:r w:rsidRPr="00BA543D">
              <w:rPr>
                <w:lang w:bidi="he-IL"/>
              </w:rPr>
              <w:t>препар</w:t>
            </w:r>
            <w:r>
              <w:rPr>
                <w:lang w:bidi="he-IL"/>
              </w:rPr>
              <w:t xml:space="preserve">атов, </w:t>
            </w:r>
            <w:r w:rsidRPr="00BA543D">
              <w:rPr>
                <w:lang w:bidi="he-IL"/>
              </w:rPr>
              <w:t>нестероидных противовоспалительных средств,  антигистаминных средств, антибиотиков, противовирусных</w:t>
            </w:r>
            <w:r>
              <w:rPr>
                <w:lang w:bidi="he-IL"/>
              </w:rPr>
              <w:t xml:space="preserve">, </w:t>
            </w:r>
            <w:r w:rsidRPr="00BA543D">
              <w:rPr>
                <w:lang w:bidi="he-IL"/>
              </w:rPr>
              <w:t xml:space="preserve"> </w:t>
            </w:r>
            <w:proofErr w:type="spellStart"/>
            <w:r w:rsidRPr="00BA543D">
              <w:rPr>
                <w:lang w:bidi="he-IL"/>
              </w:rPr>
              <w:t>противопротозойн</w:t>
            </w:r>
            <w:r>
              <w:rPr>
                <w:lang w:bidi="he-IL"/>
              </w:rPr>
              <w:t>ых</w:t>
            </w:r>
            <w:proofErr w:type="spellEnd"/>
            <w:r w:rsidRPr="00BA543D">
              <w:rPr>
                <w:lang w:bidi="he-IL"/>
              </w:rPr>
              <w:t xml:space="preserve"> </w:t>
            </w:r>
            <w:r>
              <w:rPr>
                <w:lang w:bidi="he-IL"/>
              </w:rPr>
              <w:t>и противотуберкулезных средств.</w:t>
            </w:r>
            <w:r w:rsidRPr="00BA543D">
              <w:rPr>
                <w:lang w:bidi="he-I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33DEA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B15324">
              <w:rPr>
                <w:color w:val="auto"/>
                <w:sz w:val="22"/>
                <w:szCs w:val="22"/>
              </w:rPr>
              <w:t>2</w:t>
            </w:r>
          </w:p>
        </w:tc>
      </w:tr>
      <w:tr w:rsidR="00A74C70" w:rsidRPr="00B15324" w14:paraId="48E88F2C" w14:textId="77777777" w:rsidTr="0004198F">
        <w:trPr>
          <w:trHeight w:val="2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4E44" w14:textId="77777777" w:rsidR="00A74C70" w:rsidRPr="00B15324" w:rsidRDefault="00A74C70" w:rsidP="0004198F">
            <w:pPr>
              <w:pStyle w:val="xl26"/>
              <w:widowControl w:val="0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4FFC" w14:textId="77777777" w:rsidR="00A74C70" w:rsidRPr="003228DF" w:rsidRDefault="00A74C70" w:rsidP="0004198F">
            <w:pPr>
              <w:rPr>
                <w:rFonts w:ascii="Times New Roman" w:hAnsi="Times New Roman"/>
                <w:b/>
              </w:rPr>
            </w:pPr>
            <w:r w:rsidRPr="003228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42BF" w14:textId="77777777" w:rsidR="00A74C70" w:rsidRPr="00F7671F" w:rsidRDefault="00A74C70" w:rsidP="0004198F">
            <w:pPr>
              <w:pStyle w:val="xl26"/>
              <w:widowControl w:val="0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F7671F">
              <w:rPr>
                <w:b/>
                <w:color w:val="auto"/>
                <w:sz w:val="22"/>
                <w:szCs w:val="22"/>
              </w:rPr>
              <w:t>18</w:t>
            </w:r>
          </w:p>
        </w:tc>
      </w:tr>
    </w:tbl>
    <w:p w14:paraId="491083C2" w14:textId="77777777" w:rsidR="00A74C70" w:rsidRDefault="00A74C70" w:rsidP="00A74C70"/>
    <w:p w14:paraId="4104A386" w14:textId="7925B73A" w:rsidR="005A1620" w:rsidRDefault="005A1620" w:rsidP="005A1620">
      <w:pPr>
        <w:rPr>
          <w:rFonts w:ascii="Times New Roman" w:hAnsi="Times New Roman"/>
          <w:sz w:val="24"/>
        </w:rPr>
      </w:pPr>
      <w:r w:rsidRPr="00C82EF6">
        <w:rPr>
          <w:rFonts w:ascii="Times New Roman" w:hAnsi="Times New Roman"/>
          <w:sz w:val="24"/>
        </w:rPr>
        <w:t xml:space="preserve">Обсуждено на заседании кафедры </w:t>
      </w:r>
      <w:r>
        <w:rPr>
          <w:rFonts w:ascii="Times New Roman" w:hAnsi="Times New Roman"/>
          <w:sz w:val="24"/>
        </w:rPr>
        <w:t>фармакологии и биоинформатики</w:t>
      </w:r>
      <w:r w:rsidRPr="00C82EF6">
        <w:rPr>
          <w:rFonts w:ascii="Times New Roman" w:hAnsi="Times New Roman"/>
          <w:sz w:val="24"/>
        </w:rPr>
        <w:t xml:space="preserve">, протокол № </w:t>
      </w:r>
      <w:r>
        <w:rPr>
          <w:rFonts w:ascii="Times New Roman" w:hAnsi="Times New Roman"/>
          <w:sz w:val="24"/>
        </w:rPr>
        <w:t>1</w:t>
      </w:r>
      <w:r w:rsidR="00785422">
        <w:rPr>
          <w:rFonts w:ascii="Times New Roman" w:hAnsi="Times New Roman"/>
          <w:sz w:val="24"/>
        </w:rPr>
        <w:t>7</w:t>
      </w:r>
      <w:r w:rsidRPr="00F8703D">
        <w:rPr>
          <w:rFonts w:ascii="Times New Roman" w:hAnsi="Times New Roman"/>
          <w:sz w:val="24"/>
        </w:rPr>
        <w:t xml:space="preserve"> </w:t>
      </w:r>
      <w:r w:rsidRPr="00A801BD">
        <w:rPr>
          <w:rFonts w:ascii="Times New Roman" w:hAnsi="Times New Roman"/>
          <w:sz w:val="24"/>
        </w:rPr>
        <w:t xml:space="preserve">от </w:t>
      </w:r>
      <w:r w:rsidR="00785422">
        <w:rPr>
          <w:rFonts w:ascii="Times New Roman" w:hAnsi="Times New Roman"/>
          <w:sz w:val="24"/>
        </w:rPr>
        <w:t>2</w:t>
      </w:r>
      <w:r w:rsidR="00046132">
        <w:rPr>
          <w:rFonts w:ascii="Times New Roman" w:hAnsi="Times New Roman"/>
          <w:sz w:val="24"/>
        </w:rPr>
        <w:t>5</w:t>
      </w:r>
      <w:r w:rsidR="00785422">
        <w:rPr>
          <w:rFonts w:ascii="Times New Roman" w:hAnsi="Times New Roman"/>
          <w:sz w:val="24"/>
        </w:rPr>
        <w:t>.</w:t>
      </w:r>
      <w:r w:rsidRPr="00A801BD">
        <w:rPr>
          <w:rFonts w:ascii="Times New Roman" w:hAnsi="Times New Roman"/>
          <w:sz w:val="24"/>
        </w:rPr>
        <w:t xml:space="preserve"> </w:t>
      </w:r>
      <w:r w:rsidR="00785422">
        <w:rPr>
          <w:rFonts w:ascii="Times New Roman" w:hAnsi="Times New Roman"/>
          <w:sz w:val="24"/>
        </w:rPr>
        <w:t xml:space="preserve">мая </w:t>
      </w:r>
      <w:r w:rsidRPr="00A801BD">
        <w:rPr>
          <w:rFonts w:ascii="Times New Roman" w:hAnsi="Times New Roman"/>
          <w:sz w:val="24"/>
        </w:rPr>
        <w:t>20</w:t>
      </w:r>
      <w:r w:rsidR="00222F70">
        <w:rPr>
          <w:rFonts w:ascii="Times New Roman" w:hAnsi="Times New Roman"/>
          <w:sz w:val="24"/>
        </w:rPr>
        <w:t>2</w:t>
      </w:r>
      <w:r w:rsidR="00046132">
        <w:rPr>
          <w:rFonts w:ascii="Times New Roman" w:hAnsi="Times New Roman"/>
          <w:sz w:val="24"/>
        </w:rPr>
        <w:t>3</w:t>
      </w:r>
      <w:r w:rsidRPr="00A801BD">
        <w:rPr>
          <w:rFonts w:ascii="Times New Roman" w:hAnsi="Times New Roman"/>
          <w:sz w:val="24"/>
        </w:rPr>
        <w:t xml:space="preserve"> г.</w:t>
      </w:r>
    </w:p>
    <w:p w14:paraId="790EB4C8" w14:textId="77777777" w:rsidR="00D76972" w:rsidRPr="00C82EF6" w:rsidRDefault="005A1620" w:rsidP="00D76972">
      <w:pPr>
        <w:rPr>
          <w:rFonts w:ascii="Times New Roman" w:hAnsi="Times New Roman"/>
          <w:sz w:val="28"/>
        </w:rPr>
      </w:pPr>
      <w:r w:rsidRPr="00C82EF6">
        <w:rPr>
          <w:rFonts w:ascii="Times New Roman" w:hAnsi="Times New Roman"/>
          <w:sz w:val="24"/>
        </w:rPr>
        <w:t>Заведующий кафедрой, академик РАН</w:t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="00D76972" w:rsidRPr="00522B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F269E07" wp14:editId="67895DFD">
            <wp:extent cx="1419225" cy="6667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EF6">
        <w:rPr>
          <w:rFonts w:ascii="Times New Roman" w:hAnsi="Times New Roman"/>
          <w:sz w:val="24"/>
        </w:rPr>
        <w:tab/>
      </w:r>
      <w:r w:rsidR="00D76972" w:rsidRPr="00C82EF6">
        <w:rPr>
          <w:rFonts w:ascii="Times New Roman" w:hAnsi="Times New Roman"/>
          <w:sz w:val="24"/>
        </w:rPr>
        <w:t>А.А. Спасов</w:t>
      </w:r>
    </w:p>
    <w:p w14:paraId="6A022EBC" w14:textId="04C4481A" w:rsidR="005A1620" w:rsidRPr="00C82EF6" w:rsidRDefault="005A1620" w:rsidP="005A1620">
      <w:pPr>
        <w:rPr>
          <w:rFonts w:ascii="Times New Roman" w:hAnsi="Times New Roman"/>
          <w:sz w:val="28"/>
        </w:rPr>
      </w:pP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Pr="00C82EF6">
        <w:rPr>
          <w:rFonts w:ascii="Times New Roman" w:hAnsi="Times New Roman"/>
          <w:sz w:val="24"/>
        </w:rPr>
        <w:tab/>
      </w:r>
      <w:r w:rsidR="00626E87">
        <w:rPr>
          <w:rFonts w:ascii="Times New Roman" w:hAnsi="Times New Roman"/>
          <w:sz w:val="24"/>
        </w:rPr>
        <w:t xml:space="preserve">     </w:t>
      </w:r>
    </w:p>
    <w:p w14:paraId="199B95AD" w14:textId="77777777" w:rsidR="00A74C70" w:rsidRPr="00A74C70" w:rsidRDefault="00A74C70" w:rsidP="00A74C70"/>
    <w:p w14:paraId="00C9CC6B" w14:textId="77777777" w:rsidR="00C82EF6" w:rsidRDefault="00C82EF6" w:rsidP="00C82EF6"/>
    <w:p w14:paraId="70C7C114" w14:textId="77777777" w:rsidR="005A1620" w:rsidRDefault="005A1620" w:rsidP="00C82EF6"/>
    <w:p w14:paraId="3A4713DA" w14:textId="77777777" w:rsidR="005A1620" w:rsidRDefault="005A1620" w:rsidP="00C82EF6"/>
    <w:p w14:paraId="53D16823" w14:textId="77777777" w:rsidR="005A1620" w:rsidRDefault="005A1620" w:rsidP="00C82EF6"/>
    <w:p w14:paraId="2394EDAB" w14:textId="77777777" w:rsidR="005A1620" w:rsidRDefault="005A1620" w:rsidP="00C82EF6"/>
    <w:p w14:paraId="236E82A1" w14:textId="77777777" w:rsidR="005A1620" w:rsidRDefault="005A1620" w:rsidP="00C82EF6"/>
    <w:p w14:paraId="6196153B" w14:textId="77777777" w:rsidR="005A1620" w:rsidRDefault="005A1620" w:rsidP="00C82EF6"/>
    <w:p w14:paraId="55B961DB" w14:textId="77777777" w:rsidR="005A1620" w:rsidRPr="00222F70" w:rsidRDefault="005A1620" w:rsidP="00C82EF6"/>
    <w:sectPr w:rsidR="005A1620" w:rsidRPr="00222F70" w:rsidSect="000E51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40D8" w14:textId="77777777" w:rsidR="00112B27" w:rsidRDefault="00112B27" w:rsidP="00C82EF6">
      <w:pPr>
        <w:spacing w:after="0" w:line="240" w:lineRule="auto"/>
      </w:pPr>
      <w:r>
        <w:separator/>
      </w:r>
    </w:p>
  </w:endnote>
  <w:endnote w:type="continuationSeparator" w:id="0">
    <w:p w14:paraId="59285001" w14:textId="77777777" w:rsidR="00112B27" w:rsidRDefault="00112B27" w:rsidP="00C8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AB91" w14:textId="77777777" w:rsidR="00112B27" w:rsidRDefault="00112B27" w:rsidP="00C82EF6">
      <w:pPr>
        <w:spacing w:after="0" w:line="240" w:lineRule="auto"/>
      </w:pPr>
      <w:r>
        <w:separator/>
      </w:r>
    </w:p>
  </w:footnote>
  <w:footnote w:type="continuationSeparator" w:id="0">
    <w:p w14:paraId="67317414" w14:textId="77777777" w:rsidR="00112B27" w:rsidRDefault="00112B27" w:rsidP="00C8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4"/>
      <w:gridCol w:w="4406"/>
      <w:gridCol w:w="2470"/>
      <w:gridCol w:w="845"/>
    </w:tblGrid>
    <w:tr w:rsidR="0075665B" w14:paraId="19DA56B9" w14:textId="77777777" w:rsidTr="0004198F">
      <w:trPr>
        <w:trHeight w:val="1069"/>
        <w:jc w:val="center"/>
      </w:trPr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3D2D8EA" w14:textId="77777777" w:rsidR="0075665B" w:rsidRPr="007F1DC2" w:rsidRDefault="0075665B" w:rsidP="00C82EF6">
          <w:pPr>
            <w:pStyle w:val="a3"/>
            <w:rPr>
              <w:noProof/>
              <w:sz w:val="18"/>
              <w:lang w:eastAsia="en-US"/>
            </w:rPr>
          </w:pPr>
          <w:r w:rsidRPr="007F1DC2">
            <w:rPr>
              <w:noProof/>
              <w:sz w:val="18"/>
              <w:lang w:val="en-US"/>
            </w:rPr>
            <w:drawing>
              <wp:inline distT="0" distB="0" distL="0" distR="0" wp14:anchorId="70B66EEC" wp14:editId="21CA4939">
                <wp:extent cx="1238250" cy="1247775"/>
                <wp:effectExtent l="0" t="0" r="0" b="9525"/>
                <wp:docPr id="361" name="Рисунок 36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D82AF3" w14:textId="77777777" w:rsidR="0075665B" w:rsidRPr="007F1DC2" w:rsidRDefault="0075665B" w:rsidP="00C82EF6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14:paraId="61F490FB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14:paraId="7E6ACBD1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образования</w:t>
          </w:r>
        </w:p>
        <w:p w14:paraId="6219FA93" w14:textId="77777777" w:rsidR="0075665B" w:rsidRPr="007F1DC2" w:rsidRDefault="0075665B" w:rsidP="00C82EF6">
          <w:pPr>
            <w:pStyle w:val="a3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Министерства здравоохранения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</w:p>
        <w:p w14:paraId="19AEB7BD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14:paraId="5ECB9B6F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4416DFFE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</w:t>
          </w:r>
          <w:r>
            <w:rPr>
              <w:rFonts w:ascii="Times New Roman" w:hAnsi="Times New Roman"/>
              <w:b/>
              <w:sz w:val="16"/>
              <w:szCs w:val="16"/>
            </w:rPr>
            <w:t>ра фармакологии и биоинформатики</w:t>
          </w:r>
        </w:p>
      </w:tc>
      <w:tc>
        <w:tcPr>
          <w:tcW w:w="2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9BF7FA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Основная образовательная программа </w:t>
          </w:r>
        </w:p>
        <w:p w14:paraId="46851074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направления подготовки </w:t>
          </w:r>
          <w:r>
            <w:rPr>
              <w:b/>
              <w:sz w:val="16"/>
              <w:szCs w:val="16"/>
            </w:rPr>
            <w:t>37</w:t>
          </w:r>
          <w:r w:rsidRPr="00FD0416">
            <w:rPr>
              <w:b/>
              <w:sz w:val="16"/>
              <w:szCs w:val="16"/>
            </w:rPr>
            <w:t>.05.01</w:t>
          </w:r>
          <w:r w:rsidRPr="00A07ADB">
            <w:rPr>
              <w:b/>
              <w:sz w:val="16"/>
              <w:szCs w:val="16"/>
            </w:rPr>
            <w:t xml:space="preserve"> «</w:t>
          </w:r>
          <w:r>
            <w:rPr>
              <w:b/>
              <w:sz w:val="16"/>
              <w:szCs w:val="16"/>
            </w:rPr>
            <w:t>Клиническая психология» (уровень специалитета)</w:t>
          </w:r>
        </w:p>
        <w:p w14:paraId="79D51BC9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7F97F290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 xml:space="preserve">Учебно-методический </w:t>
          </w:r>
        </w:p>
        <w:p w14:paraId="03418AF5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b/>
              <w:sz w:val="16"/>
              <w:szCs w:val="16"/>
            </w:rPr>
          </w:pPr>
          <w:r w:rsidRPr="00A07ADB">
            <w:rPr>
              <w:b/>
              <w:sz w:val="16"/>
              <w:szCs w:val="16"/>
            </w:rPr>
            <w:t>комплекс дисциплины</w:t>
          </w:r>
        </w:p>
        <w:p w14:paraId="047C8A3C" w14:textId="77777777" w:rsidR="0075665B" w:rsidRPr="00A07ADB" w:rsidRDefault="0075665B" w:rsidP="00C82EF6">
          <w:pPr>
            <w:pStyle w:val="a7"/>
            <w:spacing w:line="276" w:lineRule="auto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«ПСИХОФАРМАКОЛОГИЯ</w:t>
          </w:r>
          <w:r w:rsidRPr="00A07ADB">
            <w:rPr>
              <w:b/>
              <w:sz w:val="16"/>
              <w:szCs w:val="16"/>
            </w:rPr>
            <w:t>»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CFE03D" w14:textId="77777777" w:rsidR="0075665B" w:rsidRPr="007F1DC2" w:rsidRDefault="0075665B" w:rsidP="00C82EF6">
          <w:pPr>
            <w:pStyle w:val="a3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7F1DC2">
            <w:rPr>
              <w:rFonts w:ascii="Times New Roman" w:hAnsi="Times New Roman"/>
              <w:sz w:val="16"/>
              <w:szCs w:val="16"/>
            </w:rPr>
            <w:t xml:space="preserve">- 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F1DC2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752EE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7F1DC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F1DC2">
            <w:rPr>
              <w:rFonts w:ascii="Times New Roman" w:hAnsi="Times New Roman"/>
              <w:sz w:val="16"/>
              <w:szCs w:val="16"/>
            </w:rPr>
            <w:t xml:space="preserve"> -</w:t>
          </w:r>
        </w:p>
      </w:tc>
    </w:tr>
  </w:tbl>
  <w:p w14:paraId="683DC834" w14:textId="77777777" w:rsidR="0075665B" w:rsidRDefault="00756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508"/>
    <w:multiLevelType w:val="hybridMultilevel"/>
    <w:tmpl w:val="6CF0ABE4"/>
    <w:lvl w:ilvl="0" w:tplc="D5DA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4A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6E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0C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AB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27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F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4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61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72425"/>
    <w:multiLevelType w:val="hybridMultilevel"/>
    <w:tmpl w:val="D166AFA2"/>
    <w:lvl w:ilvl="0" w:tplc="736672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4E990">
      <w:start w:val="9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81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C2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E9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6F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CB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D9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04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015F"/>
    <w:multiLevelType w:val="hybridMultilevel"/>
    <w:tmpl w:val="8BBA0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117678">
    <w:abstractNumId w:val="2"/>
  </w:num>
  <w:num w:numId="2" w16cid:durableId="788473197">
    <w:abstractNumId w:val="1"/>
  </w:num>
  <w:num w:numId="3" w16cid:durableId="121905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F6"/>
    <w:rsid w:val="00004EEA"/>
    <w:rsid w:val="0004198F"/>
    <w:rsid w:val="00042526"/>
    <w:rsid w:val="00046132"/>
    <w:rsid w:val="00077881"/>
    <w:rsid w:val="000C0726"/>
    <w:rsid w:val="000E51E9"/>
    <w:rsid w:val="000F31CC"/>
    <w:rsid w:val="0010059D"/>
    <w:rsid w:val="00112B27"/>
    <w:rsid w:val="00222F70"/>
    <w:rsid w:val="00292088"/>
    <w:rsid w:val="00297694"/>
    <w:rsid w:val="0030049B"/>
    <w:rsid w:val="003122ED"/>
    <w:rsid w:val="003228DF"/>
    <w:rsid w:val="00325117"/>
    <w:rsid w:val="00355E30"/>
    <w:rsid w:val="00365BBD"/>
    <w:rsid w:val="00393985"/>
    <w:rsid w:val="004048FB"/>
    <w:rsid w:val="004938C4"/>
    <w:rsid w:val="004B3EDA"/>
    <w:rsid w:val="00526626"/>
    <w:rsid w:val="005A1620"/>
    <w:rsid w:val="005F4C8F"/>
    <w:rsid w:val="00626E87"/>
    <w:rsid w:val="00640F9F"/>
    <w:rsid w:val="00682080"/>
    <w:rsid w:val="006950C8"/>
    <w:rsid w:val="006D21E3"/>
    <w:rsid w:val="0075665B"/>
    <w:rsid w:val="00785422"/>
    <w:rsid w:val="007D17C3"/>
    <w:rsid w:val="00825436"/>
    <w:rsid w:val="00856CDC"/>
    <w:rsid w:val="00881DB3"/>
    <w:rsid w:val="008E3787"/>
    <w:rsid w:val="0092106D"/>
    <w:rsid w:val="00921199"/>
    <w:rsid w:val="00994E3C"/>
    <w:rsid w:val="00A043C7"/>
    <w:rsid w:val="00A74C70"/>
    <w:rsid w:val="00A801BD"/>
    <w:rsid w:val="00AB0897"/>
    <w:rsid w:val="00B35749"/>
    <w:rsid w:val="00B614B5"/>
    <w:rsid w:val="00C0214F"/>
    <w:rsid w:val="00C469D1"/>
    <w:rsid w:val="00C82EF6"/>
    <w:rsid w:val="00CC0194"/>
    <w:rsid w:val="00CD21FB"/>
    <w:rsid w:val="00D65902"/>
    <w:rsid w:val="00D76972"/>
    <w:rsid w:val="00DB4615"/>
    <w:rsid w:val="00DF6175"/>
    <w:rsid w:val="00F54725"/>
    <w:rsid w:val="00F752EE"/>
    <w:rsid w:val="00F8703D"/>
    <w:rsid w:val="00FB6417"/>
    <w:rsid w:val="00FC78A8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37DF2"/>
  <w15:docId w15:val="{B2250B21-4118-674D-BBC5-4405477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2EF6"/>
    <w:pPr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EF6"/>
  </w:style>
  <w:style w:type="paragraph" w:styleId="a5">
    <w:name w:val="footer"/>
    <w:basedOn w:val="a"/>
    <w:link w:val="a6"/>
    <w:uiPriority w:val="99"/>
    <w:unhideWhenUsed/>
    <w:rsid w:val="00C8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EF6"/>
  </w:style>
  <w:style w:type="paragraph" w:styleId="a7">
    <w:name w:val="No Spacing"/>
    <w:uiPriority w:val="1"/>
    <w:qFormat/>
    <w:rsid w:val="00C8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EF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Body Text Indent"/>
    <w:basedOn w:val="a"/>
    <w:link w:val="a9"/>
    <w:rsid w:val="00C82EF6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82EF6"/>
    <w:rPr>
      <w:rFonts w:ascii="Calibri" w:eastAsia="Calibri" w:hAnsi="Calibri" w:cs="Times New Roman"/>
    </w:rPr>
  </w:style>
  <w:style w:type="paragraph" w:customStyle="1" w:styleId="xl26">
    <w:name w:val="xl26"/>
    <w:basedOn w:val="a"/>
    <w:rsid w:val="00C82EF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2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122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22ED"/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004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04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04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4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6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Яковлев</dc:creator>
  <cp:keywords/>
  <dc:description/>
  <cp:lastModifiedBy>Microsoft Office User</cp:lastModifiedBy>
  <cp:revision>29</cp:revision>
  <cp:lastPrinted>2019-04-20T12:39:00Z</cp:lastPrinted>
  <dcterms:created xsi:type="dcterms:W3CDTF">2019-04-03T06:06:00Z</dcterms:created>
  <dcterms:modified xsi:type="dcterms:W3CDTF">2023-09-19T11:55:00Z</dcterms:modified>
</cp:coreProperties>
</file>