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9" w:rsidRPr="007F229D" w:rsidRDefault="001B5DE2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1B5D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00pt;margin-top:.45pt;width:233.1pt;height:173.85pt;z-index:251658240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C34E49" w:rsidRPr="001143E7" w:rsidRDefault="00C34E49" w:rsidP="00C34E49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«      » __________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1143E7">
                      <w:rPr>
                        <w:rFonts w:ascii="Times New Roman" w:hAnsi="Times New Roman"/>
                        <w:sz w:val="28"/>
                        <w:szCs w:val="28"/>
                      </w:rPr>
                      <w:t>2021 г</w:t>
                    </w:r>
                  </w:smartTag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C34E49" w:rsidRPr="001143E7" w:rsidRDefault="00C34E49" w:rsidP="00C34E4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C34E49" w:rsidRDefault="00C34E49" w:rsidP="00C34E49">
                  <w:pPr>
                    <w:rPr>
                      <w:szCs w:val="28"/>
                    </w:rPr>
                  </w:pPr>
                </w:p>
                <w:p w:rsidR="00C34E49" w:rsidRPr="00CF611F" w:rsidRDefault="00C34E49" w:rsidP="00C34E49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C34E49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C34E49" w:rsidRPr="007F229D" w:rsidRDefault="00C34E49" w:rsidP="00C34E49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C34E49" w:rsidRPr="007F229D" w:rsidRDefault="00C34E49" w:rsidP="00C34E49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34E49" w:rsidRDefault="00C34E49" w:rsidP="00C34E4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34E49" w:rsidRDefault="00C34E49" w:rsidP="00C34E4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34E49" w:rsidRDefault="00C34E49" w:rsidP="00C34E4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C34E49" w:rsidRDefault="00C34E49" w:rsidP="00C34E4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C34E49" w:rsidRPr="00154500" w:rsidRDefault="00C34E49" w:rsidP="00C34E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«Онколог</w:t>
      </w:r>
      <w:r w:rsidRPr="00154500">
        <w:rPr>
          <w:rFonts w:ascii="Times New Roman" w:hAnsi="Times New Roman"/>
          <w:b/>
          <w:sz w:val="28"/>
          <w:szCs w:val="28"/>
        </w:rPr>
        <w:t xml:space="preserve">ия» </w:t>
      </w:r>
    </w:p>
    <w:p w:rsidR="00C34E49" w:rsidRPr="007F2480" w:rsidRDefault="00C34E49" w:rsidP="00C34E49">
      <w:pPr>
        <w:pStyle w:val="2"/>
        <w:spacing w:line="276" w:lineRule="auto"/>
        <w:rPr>
          <w:b w:val="0"/>
          <w:bCs w:val="0"/>
          <w:caps/>
          <w:sz w:val="28"/>
          <w:szCs w:val="28"/>
        </w:rPr>
      </w:pP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E49">
        <w:rPr>
          <w:rFonts w:ascii="Times New Roman" w:hAnsi="Times New Roman"/>
          <w:b/>
          <w:sz w:val="28"/>
          <w:szCs w:val="28"/>
        </w:rPr>
        <w:t>Онкологи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C34E49" w:rsidRPr="00F96C66" w:rsidRDefault="00C34E49" w:rsidP="00C34E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 Эндоскопия.</w:t>
      </w: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4E49" w:rsidRPr="00C13117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с ДОТ: 2 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C13117">
        <w:rPr>
          <w:rFonts w:ascii="Times New Roman" w:hAnsi="Times New Roman"/>
          <w:sz w:val="28"/>
          <w:szCs w:val="28"/>
        </w:rPr>
        <w:t>е</w:t>
      </w:r>
      <w:proofErr w:type="spellEnd"/>
      <w:r w:rsidRPr="00C13117">
        <w:rPr>
          <w:rFonts w:ascii="Times New Roman" w:hAnsi="Times New Roman"/>
          <w:sz w:val="28"/>
          <w:szCs w:val="28"/>
        </w:rPr>
        <w:t>)  72  часа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Самостоятельная работа: 1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 xml:space="preserve">.)  </w:t>
      </w:r>
      <w:r>
        <w:rPr>
          <w:rFonts w:ascii="Times New Roman" w:hAnsi="Times New Roman"/>
          <w:sz w:val="28"/>
          <w:szCs w:val="28"/>
        </w:rPr>
        <w:t>36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C34E49" w:rsidRPr="00743FA0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3</w:t>
      </w:r>
      <w:r w:rsidRPr="00743F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3FA0">
        <w:rPr>
          <w:rFonts w:ascii="Times New Roman" w:hAnsi="Times New Roman"/>
          <w:sz w:val="28"/>
          <w:szCs w:val="28"/>
        </w:rPr>
        <w:t>з.е</w:t>
      </w:r>
      <w:proofErr w:type="spellEnd"/>
      <w:r w:rsidRPr="00743FA0">
        <w:rPr>
          <w:rFonts w:ascii="Times New Roman" w:hAnsi="Times New Roman"/>
          <w:sz w:val="28"/>
          <w:szCs w:val="28"/>
        </w:rPr>
        <w:t>.)  1</w:t>
      </w:r>
      <w:r>
        <w:rPr>
          <w:rFonts w:ascii="Times New Roman" w:hAnsi="Times New Roman"/>
          <w:sz w:val="28"/>
          <w:szCs w:val="28"/>
        </w:rPr>
        <w:t>08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826821" w:rsidRDefault="00C34E49" w:rsidP="00C34E4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C34E49" w:rsidRDefault="00C34E49" w:rsidP="00C34E49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826821" w:rsidRDefault="00C34E49" w:rsidP="00C34E4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C34E49" w:rsidRPr="00826821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F32">
        <w:rPr>
          <w:rFonts w:ascii="Times New Roman" w:hAnsi="Times New Roman"/>
          <w:sz w:val="28"/>
          <w:szCs w:val="28"/>
        </w:rPr>
        <w:t xml:space="preserve">Заведующий библиотекой       _____________________       </w:t>
      </w:r>
      <w:r w:rsidRPr="00901F32">
        <w:rPr>
          <w:rFonts w:ascii="Times New Roman" w:hAnsi="Times New Roman"/>
          <w:sz w:val="28"/>
          <w:szCs w:val="28"/>
        </w:rPr>
        <w:tab/>
        <w:t xml:space="preserve"> В.В.Долгова</w:t>
      </w: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901F32">
        <w:rPr>
          <w:rFonts w:ascii="Times New Roman" w:hAnsi="Times New Roman"/>
          <w:sz w:val="28"/>
          <w:szCs w:val="28"/>
        </w:rPr>
        <w:t>ВолгГМУ</w:t>
      </w:r>
      <w:proofErr w:type="spellEnd"/>
      <w:r w:rsidRPr="00901F3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901F32">
        <w:rPr>
          <w:rFonts w:ascii="Times New Roman" w:hAnsi="Times New Roman"/>
          <w:sz w:val="28"/>
          <w:szCs w:val="28"/>
        </w:rPr>
        <w:t xml:space="preserve">  от    «</w:t>
      </w:r>
      <w:r>
        <w:rPr>
          <w:rFonts w:ascii="Times New Roman" w:hAnsi="Times New Roman"/>
          <w:sz w:val="28"/>
          <w:szCs w:val="28"/>
        </w:rPr>
        <w:t>29</w:t>
      </w:r>
      <w:r w:rsidRPr="00901F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901F32">
        <w:rPr>
          <w:rFonts w:ascii="Times New Roman" w:hAnsi="Times New Roman"/>
          <w:sz w:val="28"/>
          <w:szCs w:val="28"/>
        </w:rPr>
        <w:t xml:space="preserve"> 2022  г.</w:t>
      </w: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Председатель УМК</w:t>
      </w:r>
      <w:r w:rsidRPr="00901F32">
        <w:rPr>
          <w:rFonts w:ascii="Times New Roman" w:hAnsi="Times New Roman"/>
          <w:sz w:val="28"/>
          <w:szCs w:val="28"/>
        </w:rPr>
        <w:tab/>
        <w:t>_____________________</w:t>
      </w:r>
      <w:r w:rsidRPr="00901F32">
        <w:rPr>
          <w:rFonts w:ascii="Times New Roman" w:hAnsi="Times New Roman"/>
          <w:sz w:val="28"/>
          <w:szCs w:val="28"/>
        </w:rPr>
        <w:tab/>
        <w:t xml:space="preserve">           О.В. Магницкая</w:t>
      </w:r>
    </w:p>
    <w:p w:rsidR="00C34E49" w:rsidRPr="00901F32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E49" w:rsidRPr="00DA0939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1F32">
        <w:rPr>
          <w:rFonts w:ascii="Times New Roman" w:hAnsi="Times New Roman"/>
          <w:sz w:val="28"/>
          <w:szCs w:val="28"/>
        </w:rPr>
        <w:t>Начальник управления</w:t>
      </w:r>
      <w:r w:rsidRPr="00DA0939">
        <w:rPr>
          <w:rFonts w:ascii="Times New Roman" w:hAnsi="Times New Roman"/>
          <w:sz w:val="28"/>
          <w:szCs w:val="28"/>
        </w:rPr>
        <w:t xml:space="preserve">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C34E49" w:rsidRPr="00826821" w:rsidRDefault="00C34E49" w:rsidP="00C34E49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C34E49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C34E49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 июня</w:t>
      </w:r>
      <w:r w:rsidRPr="00901F32">
        <w:rPr>
          <w:rFonts w:ascii="Times New Roman" w:hAnsi="Times New Roman"/>
          <w:sz w:val="28"/>
          <w:szCs w:val="28"/>
        </w:rPr>
        <w:t xml:space="preserve"> 2022 г.</w:t>
      </w:r>
    </w:p>
    <w:p w:rsidR="00C34E49" w:rsidRPr="00DA0939" w:rsidRDefault="00C34E49" w:rsidP="00C34E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E49" w:rsidRDefault="00C34E49" w:rsidP="00C34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jc w:val="both"/>
        <w:rPr>
          <w:rFonts w:ascii="Times New Roman" w:hAnsi="Times New Roman"/>
          <w:sz w:val="28"/>
          <w:szCs w:val="28"/>
        </w:rPr>
      </w:pPr>
    </w:p>
    <w:p w:rsidR="00C34E49" w:rsidRPr="00DA0939" w:rsidRDefault="00C34E49" w:rsidP="00C34E49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C34E49" w:rsidRDefault="00C34E49" w:rsidP="00C34E49">
      <w:pPr>
        <w:pStyle w:val="a3"/>
        <w:numPr>
          <w:ilvl w:val="0"/>
          <w:numId w:val="2"/>
        </w:numPr>
        <w:spacing w:after="0" w:line="360" w:lineRule="auto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C34E49" w:rsidRPr="005B294F" w:rsidRDefault="00C34E49" w:rsidP="00C34E49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Pr="005B294F">
        <w:rPr>
          <w:rFonts w:ascii="Times New Roman" w:hAnsi="Times New Roman"/>
          <w:b/>
          <w:bCs/>
          <w:sz w:val="28"/>
        </w:rPr>
        <w:t xml:space="preserve">Цель </w:t>
      </w:r>
    </w:p>
    <w:p w:rsidR="00C34E49" w:rsidRPr="00302BCA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 xml:space="preserve">Целью освоения </w:t>
      </w:r>
      <w:r>
        <w:rPr>
          <w:rFonts w:ascii="Times New Roman" w:hAnsi="Times New Roman"/>
          <w:sz w:val="28"/>
        </w:rPr>
        <w:t>дисциплины «Гастроэнтеролог</w:t>
      </w:r>
      <w:r w:rsidRPr="00302BCA">
        <w:rPr>
          <w:rFonts w:ascii="Times New Roman" w:hAnsi="Times New Roman"/>
          <w:sz w:val="28"/>
        </w:rPr>
        <w:t>ия» является подготовка квалифицированного врача–</w:t>
      </w:r>
      <w:proofErr w:type="spellStart"/>
      <w:r>
        <w:rPr>
          <w:rFonts w:ascii="Times New Roman" w:hAnsi="Times New Roman"/>
          <w:sz w:val="28"/>
        </w:rPr>
        <w:t>эноскописта</w:t>
      </w:r>
      <w:proofErr w:type="spellEnd"/>
      <w:r w:rsidRPr="00302BCA">
        <w:rPr>
          <w:rFonts w:ascii="Times New Roman" w:hAnsi="Times New Roman"/>
          <w:sz w:val="28"/>
        </w:rPr>
        <w:t xml:space="preserve">, обладающего системой универсальных и профессиональных компетенций, в соответствии с ФГОС </w:t>
      </w:r>
      <w:proofErr w:type="gramStart"/>
      <w:r w:rsidRPr="00302BCA">
        <w:rPr>
          <w:rFonts w:ascii="Times New Roman" w:hAnsi="Times New Roman"/>
          <w:sz w:val="28"/>
        </w:rPr>
        <w:t>ВО</w:t>
      </w:r>
      <w:proofErr w:type="gramEnd"/>
      <w:r w:rsidRPr="00302BCA">
        <w:rPr>
          <w:rFonts w:ascii="Times New Roman" w:hAnsi="Times New Roman"/>
          <w:sz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C34E49" w:rsidRPr="00302BCA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 </w:t>
      </w:r>
      <w:r w:rsidRPr="00302BCA">
        <w:rPr>
          <w:rFonts w:ascii="Times New Roman" w:hAnsi="Times New Roman"/>
          <w:b/>
          <w:sz w:val="28"/>
        </w:rPr>
        <w:t>Задачи:</w:t>
      </w:r>
    </w:p>
    <w:p w:rsidR="00C34E49" w:rsidRPr="001B0C6D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 w:rsidRPr="00302BCA">
        <w:rPr>
          <w:rFonts w:ascii="Times New Roman" w:hAnsi="Times New Roman"/>
          <w:sz w:val="28"/>
        </w:rPr>
        <w:t>1. Сформировать умения в освоении новейших технологий и методик в сфере</w:t>
      </w:r>
      <w:r w:rsidRPr="001B0C6D">
        <w:rPr>
          <w:rFonts w:ascii="Times New Roman" w:hAnsi="Times New Roman"/>
          <w:sz w:val="28"/>
        </w:rPr>
        <w:t xml:space="preserve"> своих профессиональных интересов.</w:t>
      </w:r>
    </w:p>
    <w:p w:rsidR="00C34E49" w:rsidRPr="001B0C6D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>эндоскопии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</w:t>
      </w:r>
      <w:proofErr w:type="spellStart"/>
      <w:r w:rsidRPr="001B0C6D">
        <w:rPr>
          <w:rFonts w:ascii="Times New Roman" w:hAnsi="Times New Roman"/>
          <w:sz w:val="28"/>
        </w:rPr>
        <w:t>ургентных</w:t>
      </w:r>
      <w:proofErr w:type="spellEnd"/>
      <w:r w:rsidRPr="001B0C6D">
        <w:rPr>
          <w:rFonts w:ascii="Times New Roman" w:hAnsi="Times New Roman"/>
          <w:sz w:val="28"/>
        </w:rPr>
        <w:t xml:space="preserve">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C34E49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C34E49" w:rsidRDefault="00C34E49" w:rsidP="00C34E4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C34E49" w:rsidRPr="00EA0A68" w:rsidRDefault="00C34E49" w:rsidP="00C34E4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C34E49" w:rsidRPr="00EA0A68" w:rsidRDefault="00C34E49" w:rsidP="00C34E4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C34E49" w:rsidRPr="00EA0A68" w:rsidRDefault="00C34E49" w:rsidP="00C34E4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C34E49" w:rsidRPr="00EA0A68" w:rsidRDefault="00C34E49" w:rsidP="00C34E49">
      <w:pPr>
        <w:numPr>
          <w:ilvl w:val="0"/>
          <w:numId w:val="5"/>
        </w:numPr>
        <w:autoSpaceDE w:val="0"/>
        <w:autoSpaceDN w:val="0"/>
        <w:adjustRightInd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C34E49" w:rsidRPr="00EA0A68" w:rsidRDefault="00C34E49" w:rsidP="00C34E49">
      <w:pPr>
        <w:autoSpaceDE w:val="0"/>
        <w:autoSpaceDN w:val="0"/>
        <w:adjustRightInd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C34E49" w:rsidRPr="00EA0A68" w:rsidRDefault="00C34E49" w:rsidP="00C34E4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C34E49" w:rsidRPr="00EA0A68" w:rsidRDefault="00C34E49" w:rsidP="00C34E49">
      <w:pPr>
        <w:tabs>
          <w:tab w:val="left" w:pos="0"/>
          <w:tab w:val="left" w:pos="993"/>
        </w:tabs>
        <w:autoSpaceDE w:val="0"/>
        <w:autoSpaceDN w:val="0"/>
        <w:spacing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C34E49" w:rsidRPr="00EA0A68" w:rsidRDefault="00C34E49" w:rsidP="00C34E49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организация проведения медицинской экспертизы;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</w:t>
      </w:r>
      <w:proofErr w:type="gramStart"/>
      <w:r w:rsidRPr="00EA0A68">
        <w:rPr>
          <w:rFonts w:ascii="Times New Roman" w:hAnsi="Times New Roman"/>
          <w:sz w:val="28"/>
          <w:szCs w:val="28"/>
        </w:rPr>
        <w:t>ии и ее</w:t>
      </w:r>
      <w:proofErr w:type="gramEnd"/>
      <w:r w:rsidRPr="00EA0A68">
        <w:rPr>
          <w:rFonts w:ascii="Times New Roman" w:hAnsi="Times New Roman"/>
          <w:sz w:val="28"/>
          <w:szCs w:val="28"/>
        </w:rPr>
        <w:t xml:space="preserve"> структурных подразделениях;</w:t>
      </w:r>
    </w:p>
    <w:p w:rsidR="00C34E49" w:rsidRPr="00EA0A68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C34E49" w:rsidRDefault="00C34E49" w:rsidP="00C34E49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E49" w:rsidRPr="00D7328A" w:rsidRDefault="00C34E49" w:rsidP="00C34E49">
      <w:pPr>
        <w:pStyle w:val="a3"/>
        <w:spacing w:after="0" w:line="360" w:lineRule="auto"/>
        <w:ind w:left="0" w:firstLine="550"/>
        <w:rPr>
          <w:rFonts w:ascii="Times New Roman" w:hAnsi="Times New Roman"/>
          <w:sz w:val="28"/>
          <w:szCs w:val="28"/>
        </w:rPr>
      </w:pPr>
    </w:p>
    <w:p w:rsidR="00C34E49" w:rsidRPr="00826821" w:rsidRDefault="00C34E49" w:rsidP="00C34E49">
      <w:pPr>
        <w:pStyle w:val="a7"/>
        <w:jc w:val="both"/>
        <w:rPr>
          <w:rFonts w:ascii="Times New Roman" w:hAnsi="Times New Roman"/>
          <w:sz w:val="24"/>
          <w:szCs w:val="28"/>
        </w:rPr>
        <w:sectPr w:rsidR="00C34E49" w:rsidRPr="0082682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C34E49" w:rsidRPr="001367FD" w:rsidRDefault="00C34E49" w:rsidP="00C34E49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31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«Онколог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Pr="005F55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я»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3403"/>
        <w:gridCol w:w="3404"/>
        <w:gridCol w:w="3404"/>
        <w:gridCol w:w="3404"/>
      </w:tblGrid>
      <w:tr w:rsidR="00C34E49" w:rsidRPr="00B81447" w:rsidTr="00A01983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Содержание и структура компетенции</w:t>
            </w:r>
          </w:p>
        </w:tc>
      </w:tr>
      <w:tr w:rsidR="00C34E49" w:rsidRPr="00B81447" w:rsidTr="00A01983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34E49" w:rsidRPr="00B81447" w:rsidRDefault="00C34E49" w:rsidP="00A01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814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владеть</w:t>
            </w:r>
          </w:p>
        </w:tc>
      </w:tr>
      <w:tr w:rsidR="00C34E49" w:rsidRPr="00A23632" w:rsidTr="00A01983">
        <w:trPr>
          <w:trHeight w:val="1440"/>
        </w:trPr>
        <w:tc>
          <w:tcPr>
            <w:tcW w:w="0" w:type="auto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УК-1</w:t>
            </w:r>
          </w:p>
        </w:tc>
        <w:tc>
          <w:tcPr>
            <w:tcW w:w="3403" w:type="dxa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ar-SA"/>
              </w:rPr>
              <w:t>готовность к абстрактному мышлению, анализу, синтезу;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9C063E" w:rsidRDefault="00C34E49" w:rsidP="00C34E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понятия, используемые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научные идеи и тенденции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онкологии</w:t>
            </w:r>
            <w:r w:rsidRPr="009C06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>критически оценивать поступающую информацию вне зависимости от ее источник</w:t>
            </w:r>
            <w:r>
              <w:rPr>
                <w:rFonts w:ascii="Times New Roman" w:hAnsi="Times New Roman"/>
                <w:bCs/>
              </w:rPr>
              <w:t>а;</w:t>
            </w:r>
            <w:r w:rsidRPr="008026C4">
              <w:rPr>
                <w:rFonts w:ascii="Times New Roman" w:hAnsi="Times New Roman"/>
                <w:bCs/>
              </w:rPr>
              <w:t xml:space="preserve"> избегать автоматического применения стандартных приемов при реше</w:t>
            </w:r>
            <w:r>
              <w:rPr>
                <w:rFonts w:ascii="Times New Roman" w:hAnsi="Times New Roman"/>
                <w:bCs/>
              </w:rPr>
              <w:t xml:space="preserve">нии профессиональных задач; </w:t>
            </w:r>
            <w:r w:rsidRPr="008026C4">
              <w:rPr>
                <w:rFonts w:ascii="Times New Roman" w:hAnsi="Times New Roman"/>
                <w:bCs/>
              </w:rPr>
              <w:t xml:space="preserve">управлять информацией (поиск, интерпретация, анализ информации, в т.ч. </w:t>
            </w:r>
            <w:r>
              <w:rPr>
                <w:rFonts w:ascii="Times New Roman" w:hAnsi="Times New Roman"/>
                <w:bCs/>
              </w:rPr>
              <w:t>из множественных источников;</w:t>
            </w:r>
            <w:r w:rsidRPr="008026C4">
              <w:rPr>
                <w:rFonts w:ascii="Times New Roman" w:hAnsi="Times New Roman"/>
                <w:bCs/>
              </w:rPr>
              <w:t xml:space="preserve">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8026C4">
              <w:rPr>
                <w:rFonts w:ascii="Times New Roman" w:hAnsi="Times New Roman"/>
                <w:bCs/>
              </w:rPr>
              <w:t xml:space="preserve">навыками сбора, обработки, критического анализа и </w:t>
            </w:r>
            <w:r>
              <w:rPr>
                <w:rFonts w:ascii="Times New Roman" w:hAnsi="Times New Roman"/>
                <w:bCs/>
              </w:rPr>
              <w:t>систематизации профессиональной информации;</w:t>
            </w:r>
            <w:r w:rsidRPr="008026C4">
              <w:rPr>
                <w:rFonts w:ascii="Times New Roman" w:hAnsi="Times New Roman"/>
                <w:bCs/>
              </w:rPr>
              <w:t xml:space="preserve"> навыками выбора методов и средств реш</w:t>
            </w:r>
            <w:r>
              <w:rPr>
                <w:rFonts w:ascii="Times New Roman" w:hAnsi="Times New Roman"/>
                <w:bCs/>
              </w:rPr>
              <w:t>ения профессиональных задач;</w:t>
            </w:r>
            <w:r w:rsidRPr="008026C4">
              <w:rPr>
                <w:rFonts w:ascii="Times New Roman" w:hAnsi="Times New Roman"/>
                <w:bCs/>
              </w:rPr>
              <w:t xml:space="preserve"> навыками управления информацией (поиск, интерпретация, анализ информации, в т.ч. </w:t>
            </w:r>
            <w:r>
              <w:rPr>
                <w:rFonts w:ascii="Times New Roman" w:hAnsi="Times New Roman"/>
                <w:bCs/>
              </w:rPr>
              <w:t>из множественных источников;</w:t>
            </w:r>
            <w:r w:rsidRPr="008026C4">
              <w:rPr>
                <w:rFonts w:ascii="Times New Roman" w:hAnsi="Times New Roman"/>
                <w:bCs/>
              </w:rPr>
              <w:t xml:space="preserve"> владеть компьютерной техникой, получать инфо</w:t>
            </w:r>
            <w:r>
              <w:rPr>
                <w:rFonts w:ascii="Times New Roman" w:hAnsi="Times New Roman"/>
                <w:bCs/>
              </w:rPr>
              <w:t xml:space="preserve">рмацию из различных источников, </w:t>
            </w:r>
            <w:r w:rsidRPr="008026C4">
              <w:rPr>
                <w:rFonts w:ascii="Times New Roman" w:hAnsi="Times New Roman"/>
                <w:bCs/>
              </w:rPr>
              <w:t>работать с информацией в глобальных компьютерных сетях.</w:t>
            </w:r>
            <w:proofErr w:type="gramEnd"/>
          </w:p>
        </w:tc>
      </w:tr>
      <w:tr w:rsidR="00C34E49" w:rsidRPr="00A23632" w:rsidTr="00A01983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ПК-1</w:t>
            </w:r>
          </w:p>
        </w:tc>
        <w:tc>
          <w:tcPr>
            <w:tcW w:w="3403" w:type="dxa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</w:t>
            </w:r>
            <w:r w:rsidRPr="00A23632">
              <w:rPr>
                <w:rFonts w:ascii="Times New Roman" w:hAnsi="Times New Roman"/>
              </w:rPr>
              <w:lastRenderedPageBreak/>
              <w:t xml:space="preserve">устранение вредного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человека факторов среды его обитания;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 xml:space="preserve">социальные, медико-биологические факторы риска распространения </w:t>
            </w:r>
            <w:r>
              <w:rPr>
                <w:rFonts w:ascii="Times New Roman" w:hAnsi="Times New Roman"/>
                <w:bCs/>
              </w:rPr>
              <w:t xml:space="preserve">онкологических </w:t>
            </w:r>
            <w:r w:rsidRPr="00A23632">
              <w:rPr>
                <w:rFonts w:ascii="Times New Roman" w:hAnsi="Times New Roman"/>
                <w:bCs/>
              </w:rPr>
              <w:t xml:space="preserve">заболеваний; формы и методы повышения санитарной грамотности населения для уменьшения риска возникновения </w:t>
            </w:r>
            <w:r>
              <w:rPr>
                <w:rFonts w:ascii="Times New Roman" w:hAnsi="Times New Roman"/>
                <w:bCs/>
              </w:rPr>
              <w:t xml:space="preserve">онкологических </w:t>
            </w:r>
            <w:r w:rsidRPr="00A23632">
              <w:rPr>
                <w:rFonts w:ascii="Times New Roman" w:hAnsi="Times New Roman"/>
                <w:bCs/>
              </w:rPr>
              <w:t>заболеваний</w:t>
            </w:r>
            <w:r>
              <w:rPr>
                <w:rFonts w:ascii="Times New Roman" w:hAnsi="Times New Roman"/>
                <w:bCs/>
              </w:rPr>
              <w:t>,</w:t>
            </w:r>
            <w:r w:rsidRPr="00A23632">
              <w:rPr>
                <w:rFonts w:ascii="Times New Roman" w:hAnsi="Times New Roman"/>
                <w:bCs/>
              </w:rPr>
              <w:t xml:space="preserve"> </w:t>
            </w:r>
            <w:r w:rsidRPr="00A23632">
              <w:rPr>
                <w:rFonts w:ascii="Times New Roman" w:hAnsi="Times New Roman"/>
              </w:rPr>
              <w:t xml:space="preserve"> методы ранней диагностики,   способы выявления причин и условий для </w:t>
            </w:r>
            <w:r w:rsidRPr="00A23632">
              <w:rPr>
                <w:rFonts w:ascii="Times New Roman" w:hAnsi="Times New Roman"/>
              </w:rPr>
              <w:lastRenderedPageBreak/>
              <w:t xml:space="preserve">возникновения </w:t>
            </w:r>
            <w:r>
              <w:rPr>
                <w:rFonts w:ascii="Times New Roman" w:hAnsi="Times New Roman"/>
              </w:rPr>
              <w:t xml:space="preserve">онкологических заболеваний, </w:t>
            </w:r>
            <w:r w:rsidRPr="00A23632">
              <w:rPr>
                <w:rFonts w:ascii="Times New Roman" w:hAnsi="Times New Roman"/>
              </w:rPr>
              <w:t xml:space="preserve">мероприятия, направленные на устранение вредного </w:t>
            </w:r>
            <w:proofErr w:type="gramStart"/>
            <w:r w:rsidRPr="00A23632">
              <w:rPr>
                <w:rFonts w:ascii="Times New Roman" w:hAnsi="Times New Roman"/>
              </w:rPr>
              <w:t>влияния</w:t>
            </w:r>
            <w:proofErr w:type="gramEnd"/>
            <w:r w:rsidRPr="00A23632">
              <w:rPr>
                <w:rFonts w:ascii="Times New Roman" w:hAnsi="Times New Roman"/>
              </w:rPr>
              <w:t xml:space="preserve"> на здоровье человека факторов среды его обитания.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 xml:space="preserve">проводить санитарно-просветительскую работу по </w:t>
            </w:r>
            <w:r>
              <w:rPr>
                <w:rFonts w:ascii="Times New Roman" w:hAnsi="Times New Roman"/>
                <w:bCs/>
              </w:rPr>
              <w:t xml:space="preserve">онкологическим </w:t>
            </w:r>
            <w:r w:rsidRPr="00A23632">
              <w:rPr>
                <w:rFonts w:ascii="Times New Roman" w:hAnsi="Times New Roman"/>
                <w:bCs/>
              </w:rPr>
              <w:t>заболеваниям,</w:t>
            </w:r>
            <w:r w:rsidRPr="00A23632">
              <w:rPr>
                <w:rFonts w:ascii="Times New Roman" w:hAnsi="Times New Roman"/>
              </w:rPr>
              <w:t xml:space="preserve"> формировать здоровый образ жизни, предупреждать возникновения и (или) распространения </w:t>
            </w:r>
            <w:r>
              <w:rPr>
                <w:rFonts w:ascii="Times New Roman" w:hAnsi="Times New Roman"/>
              </w:rPr>
              <w:t>онкологических заболеваний</w:t>
            </w:r>
            <w:r w:rsidRPr="00A23632">
              <w:rPr>
                <w:rFonts w:ascii="Times New Roman" w:hAnsi="Times New Roman"/>
              </w:rPr>
              <w:t xml:space="preserve">, осуществлять раннюю диагностику </w:t>
            </w:r>
            <w:r>
              <w:rPr>
                <w:rFonts w:ascii="Times New Roman" w:hAnsi="Times New Roman"/>
              </w:rPr>
              <w:t xml:space="preserve">онкологических заболеваний </w:t>
            </w:r>
            <w:r w:rsidRPr="00A23632">
              <w:rPr>
                <w:rFonts w:ascii="Times New Roman" w:hAnsi="Times New Roman"/>
              </w:rPr>
              <w:t xml:space="preserve">и причин, приводящих к </w:t>
            </w:r>
            <w:r>
              <w:rPr>
                <w:rFonts w:ascii="Times New Roman" w:hAnsi="Times New Roman"/>
              </w:rPr>
              <w:t>их</w:t>
            </w:r>
            <w:r w:rsidRPr="00A23632">
              <w:rPr>
                <w:rFonts w:ascii="Times New Roman" w:hAnsi="Times New Roman"/>
              </w:rPr>
              <w:t xml:space="preserve"> </w:t>
            </w:r>
            <w:r w:rsidRPr="00A23632">
              <w:rPr>
                <w:rFonts w:ascii="Times New Roman" w:hAnsi="Times New Roman"/>
              </w:rPr>
              <w:lastRenderedPageBreak/>
              <w:t>развитию.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  <w:bCs/>
              </w:rPr>
              <w:lastRenderedPageBreak/>
              <w:t xml:space="preserve">методикой подготовки и проведения санитарно-просветительных бесед, </w:t>
            </w:r>
            <w:r w:rsidRPr="00A23632">
              <w:rPr>
                <w:rFonts w:ascii="Times New Roman" w:hAnsi="Times New Roman"/>
              </w:rPr>
              <w:t xml:space="preserve">комплексом мероприятий, направленных на сохранение и укрепление здоровья, методами формирования здорового образа жизни,  навыками предупреждения возникновения и (или) распространения </w:t>
            </w:r>
            <w:r>
              <w:rPr>
                <w:rFonts w:ascii="Times New Roman" w:hAnsi="Times New Roman"/>
              </w:rPr>
              <w:t xml:space="preserve">онкологических заболеваний, </w:t>
            </w:r>
            <w:r w:rsidRPr="00A23632">
              <w:rPr>
                <w:rFonts w:ascii="Times New Roman" w:hAnsi="Times New Roman"/>
              </w:rPr>
              <w:lastRenderedPageBreak/>
              <w:t>способами ранней диагностики.</w:t>
            </w:r>
          </w:p>
        </w:tc>
      </w:tr>
      <w:tr w:rsidR="00C34E49" w:rsidRPr="00A23632" w:rsidTr="00A01983">
        <w:trPr>
          <w:trHeight w:val="2355"/>
        </w:trPr>
        <w:tc>
          <w:tcPr>
            <w:tcW w:w="0" w:type="auto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eastAsia="Calibri" w:hAnsi="Times New Roman"/>
                <w:lang w:eastAsia="en-US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нормативные документы, регламентирующие проведение профилактических осмотров и диспансеризацию населения, сроки и объем диспансеризации населения</w:t>
            </w:r>
            <w:proofErr w:type="gramStart"/>
            <w:r w:rsidRPr="00A23632">
              <w:rPr>
                <w:rFonts w:ascii="Times New Roman" w:hAnsi="Times New Roman"/>
              </w:rPr>
              <w:t>.</w:t>
            </w:r>
            <w:proofErr w:type="gramEnd"/>
            <w:r w:rsidRPr="00A23632">
              <w:rPr>
                <w:rFonts w:ascii="Times New Roman" w:hAnsi="Times New Roman"/>
              </w:rPr>
              <w:t xml:space="preserve"> </w:t>
            </w:r>
            <w:proofErr w:type="gramStart"/>
            <w:r w:rsidRPr="00A23632">
              <w:rPr>
                <w:rFonts w:ascii="Times New Roman" w:hAnsi="Times New Roman"/>
              </w:rPr>
              <w:t>м</w:t>
            </w:r>
            <w:proofErr w:type="gramEnd"/>
            <w:r w:rsidRPr="00A23632">
              <w:rPr>
                <w:rFonts w:ascii="Times New Roman" w:hAnsi="Times New Roman"/>
              </w:rPr>
              <w:t xml:space="preserve">ероприятия по осуществлению диспансерного наблюдения за пациентами, страдающими </w:t>
            </w:r>
            <w:r>
              <w:rPr>
                <w:rFonts w:ascii="Times New Roman" w:hAnsi="Times New Roman"/>
              </w:rPr>
              <w:t>онкологическими заболеваниями.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проводить профилактические медицинские осмотры, диспансеризацию и осуществлять диспансерное наблюдение за пациента</w:t>
            </w:r>
            <w:r>
              <w:rPr>
                <w:rFonts w:ascii="Times New Roman" w:hAnsi="Times New Roman"/>
              </w:rPr>
              <w:t>ми</w:t>
            </w:r>
            <w:r w:rsidRPr="00A23632"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навыками проведения профилактических медицинских осмотров, диспансеризации населения и осуществлению диспанс</w:t>
            </w:r>
            <w:r>
              <w:rPr>
                <w:rFonts w:ascii="Times New Roman" w:hAnsi="Times New Roman"/>
              </w:rPr>
              <w:t>ерного наблюдения за пациентами</w:t>
            </w:r>
            <w:r w:rsidRPr="00A23632">
              <w:rPr>
                <w:rFonts w:ascii="Times New Roman" w:hAnsi="Times New Roman"/>
              </w:rPr>
              <w:t>.</w:t>
            </w:r>
          </w:p>
        </w:tc>
      </w:tr>
      <w:tr w:rsidR="00C34E49" w:rsidRPr="00A23632" w:rsidTr="00A01983">
        <w:trPr>
          <w:trHeight w:val="2280"/>
        </w:trPr>
        <w:tc>
          <w:tcPr>
            <w:tcW w:w="0" w:type="auto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23632">
              <w:rPr>
                <w:rFonts w:ascii="Times New Roman" w:hAnsi="Times New Roman"/>
              </w:rPr>
              <w:t>ПК-5</w:t>
            </w:r>
          </w:p>
        </w:tc>
        <w:tc>
          <w:tcPr>
            <w:tcW w:w="3403" w:type="dxa"/>
            <w:shd w:val="clear" w:color="auto" w:fill="auto"/>
            <w:hideMark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готовность к определению у пациентов патологических состояний, симптомов, синдромов заболеваний органов дыхания, определению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 xml:space="preserve">патологические состояния, симптомы, синдромы заболеваний, схожих с </w:t>
            </w:r>
            <w:r>
              <w:rPr>
                <w:rFonts w:ascii="Times New Roman" w:hAnsi="Times New Roman"/>
              </w:rPr>
              <w:t>онкологическими заболеваниями</w:t>
            </w:r>
            <w:r w:rsidRPr="00A23632">
              <w:rPr>
                <w:rFonts w:ascii="Times New Roman" w:hAnsi="Times New Roman"/>
              </w:rPr>
              <w:t xml:space="preserve">, нозологических форм в соответствии с Международной статистической классификацией болезней,  основные методы лабораторной и инструментальной  диагностики  и критерии дифференциальной диагностики  </w:t>
            </w:r>
            <w:r>
              <w:rPr>
                <w:rFonts w:ascii="Times New Roman" w:hAnsi="Times New Roman"/>
              </w:rPr>
              <w:t>онкологических заболеваний</w:t>
            </w:r>
            <w:r w:rsidRPr="00A23632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t>определять клинические симптомы и синдромы, характерные для</w:t>
            </w:r>
            <w:r>
              <w:rPr>
                <w:rFonts w:ascii="Times New Roman" w:hAnsi="Times New Roman"/>
              </w:rPr>
              <w:t xml:space="preserve"> онкологических </w:t>
            </w:r>
            <w:r w:rsidRPr="00A23632">
              <w:rPr>
                <w:rFonts w:ascii="Times New Roman" w:hAnsi="Times New Roman"/>
              </w:rPr>
              <w:t>больных в соответствии с Международной статистической классификацией болезней,  назначать методы обследования, необходимые для диагностики</w:t>
            </w:r>
            <w:r>
              <w:rPr>
                <w:rFonts w:ascii="Times New Roman" w:hAnsi="Times New Roman"/>
              </w:rPr>
              <w:t xml:space="preserve"> онкологических заболеваний</w:t>
            </w:r>
            <w:r w:rsidRPr="00A23632">
              <w:rPr>
                <w:rFonts w:ascii="Times New Roman" w:hAnsi="Times New Roman"/>
              </w:rPr>
              <w:t xml:space="preserve">,  планировать лабораторное и функциональное обследование, с использованием современных диагностических систем и лабораторных тестов, интерпретировать результаты лабораторных методов </w:t>
            </w:r>
            <w:r w:rsidRPr="00A23632">
              <w:rPr>
                <w:rFonts w:ascii="Times New Roman" w:hAnsi="Times New Roman"/>
              </w:rPr>
              <w:lastRenderedPageBreak/>
              <w:t>исследования.</w:t>
            </w:r>
          </w:p>
        </w:tc>
        <w:tc>
          <w:tcPr>
            <w:tcW w:w="3404" w:type="dxa"/>
            <w:shd w:val="clear" w:color="auto" w:fill="auto"/>
            <w:hideMark/>
          </w:tcPr>
          <w:p w:rsidR="00C34E49" w:rsidRPr="00A23632" w:rsidRDefault="00C34E49" w:rsidP="00C34E49">
            <w:pPr>
              <w:rPr>
                <w:rFonts w:ascii="Times New Roman" w:hAnsi="Times New Roman"/>
                <w:color w:val="000000"/>
              </w:rPr>
            </w:pPr>
            <w:r w:rsidRPr="00A23632">
              <w:rPr>
                <w:rFonts w:ascii="Times New Roman" w:hAnsi="Times New Roman"/>
              </w:rPr>
              <w:lastRenderedPageBreak/>
              <w:t xml:space="preserve">навыками определения симптомов, характерных для </w:t>
            </w:r>
            <w:r>
              <w:rPr>
                <w:rFonts w:ascii="Times New Roman" w:hAnsi="Times New Roman"/>
              </w:rPr>
              <w:t xml:space="preserve">заболеваний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 xml:space="preserve">,   проведения клинического обследования,   интерпретации результатов обследования при </w:t>
            </w:r>
            <w:r>
              <w:rPr>
                <w:rFonts w:ascii="Times New Roman" w:hAnsi="Times New Roman"/>
              </w:rPr>
              <w:t xml:space="preserve">заболевании органов </w:t>
            </w:r>
            <w:proofErr w:type="spellStart"/>
            <w:r>
              <w:rPr>
                <w:rFonts w:ascii="Times New Roman" w:hAnsi="Times New Roman"/>
              </w:rPr>
              <w:t>жкт</w:t>
            </w:r>
            <w:proofErr w:type="spellEnd"/>
            <w:r w:rsidRPr="00A23632">
              <w:rPr>
                <w:rFonts w:ascii="Times New Roman" w:hAnsi="Times New Roman"/>
              </w:rPr>
              <w:t>, дифференциальной диагностики с другими заболеваниями,   формулировки диагноза в соответствии с современными классификациями болезней.</w:t>
            </w:r>
          </w:p>
        </w:tc>
      </w:tr>
      <w:tr w:rsidR="00C34E49" w:rsidRPr="00A23632" w:rsidTr="00A01983">
        <w:trPr>
          <w:trHeight w:val="2280"/>
        </w:trPr>
        <w:tc>
          <w:tcPr>
            <w:tcW w:w="0" w:type="auto"/>
            <w:shd w:val="clear" w:color="auto" w:fill="auto"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C34E49" w:rsidRPr="00A23632" w:rsidRDefault="00C34E49" w:rsidP="00C34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3632">
              <w:rPr>
                <w:rFonts w:ascii="Times New Roman" w:hAnsi="Times New Roman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  у пациентов, нуждающихся  в медицинской реабилитации и </w:t>
            </w:r>
            <w:proofErr w:type="spellStart"/>
            <w:r w:rsidRPr="00A23632">
              <w:rPr>
                <w:rFonts w:ascii="Times New Roman" w:hAnsi="Times New Roman"/>
              </w:rPr>
              <w:t>санаторн</w:t>
            </w:r>
            <w:proofErr w:type="gramStart"/>
            <w:r w:rsidRPr="00A23632">
              <w:rPr>
                <w:rFonts w:ascii="Times New Roman" w:hAnsi="Times New Roman"/>
              </w:rPr>
              <w:t>о</w:t>
            </w:r>
            <w:proofErr w:type="spellEnd"/>
            <w:r w:rsidRPr="00A23632">
              <w:rPr>
                <w:rFonts w:ascii="Times New Roman" w:hAnsi="Times New Roman"/>
              </w:rPr>
              <w:t>-</w:t>
            </w:r>
            <w:proofErr w:type="gramEnd"/>
            <w:r w:rsidRPr="00A23632">
              <w:rPr>
                <w:rFonts w:ascii="Times New Roman" w:hAnsi="Times New Roman"/>
              </w:rPr>
              <w:t xml:space="preserve"> курортном лечении;</w:t>
            </w:r>
          </w:p>
        </w:tc>
        <w:tc>
          <w:tcPr>
            <w:tcW w:w="3404" w:type="dxa"/>
            <w:shd w:val="clear" w:color="auto" w:fill="auto"/>
          </w:tcPr>
          <w:p w:rsidR="00C34E49" w:rsidRPr="00A23632" w:rsidRDefault="00C34E49" w:rsidP="00C34E49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другие методы терапии для медицинской реабилитации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C34E49" w:rsidRPr="00A23632" w:rsidRDefault="00C34E49" w:rsidP="00C34E49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применять природные лечебные факторы, лекарственную, </w:t>
            </w:r>
            <w:proofErr w:type="spellStart"/>
            <w:r w:rsidRPr="00A23632">
              <w:rPr>
                <w:rFonts w:ascii="Times New Roman" w:hAnsi="Times New Roman"/>
              </w:rPr>
              <w:t>немедикаментозную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терапию и другие методы для медицинской реабилитации и санаторно-курортного лечения.</w:t>
            </w:r>
          </w:p>
        </w:tc>
        <w:tc>
          <w:tcPr>
            <w:tcW w:w="3404" w:type="dxa"/>
            <w:shd w:val="clear" w:color="auto" w:fill="auto"/>
          </w:tcPr>
          <w:p w:rsidR="00C34E49" w:rsidRPr="00A23632" w:rsidRDefault="00C34E49" w:rsidP="00C34E49">
            <w:pPr>
              <w:jc w:val="center"/>
              <w:rPr>
                <w:rFonts w:ascii="Times New Roman" w:hAnsi="Times New Roman"/>
                <w:bCs/>
              </w:rPr>
            </w:pPr>
            <w:r w:rsidRPr="00A23632">
              <w:rPr>
                <w:rFonts w:ascii="Times New Roman" w:hAnsi="Times New Roman"/>
              </w:rPr>
              <w:t xml:space="preserve">навыками применения природных лечебных факторов, лекарственной, </w:t>
            </w:r>
            <w:proofErr w:type="spellStart"/>
            <w:r w:rsidRPr="00A23632">
              <w:rPr>
                <w:rFonts w:ascii="Times New Roman" w:hAnsi="Times New Roman"/>
              </w:rPr>
              <w:t>немед</w:t>
            </w:r>
            <w:r>
              <w:rPr>
                <w:rFonts w:ascii="Times New Roman" w:hAnsi="Times New Roman"/>
              </w:rPr>
              <w:t>икаментоз</w:t>
            </w:r>
            <w:r w:rsidRPr="00A23632">
              <w:rPr>
                <w:rFonts w:ascii="Times New Roman" w:hAnsi="Times New Roman"/>
              </w:rPr>
              <w:t>ной</w:t>
            </w:r>
            <w:proofErr w:type="spellEnd"/>
            <w:r w:rsidRPr="00A23632">
              <w:rPr>
                <w:rFonts w:ascii="Times New Roman" w:hAnsi="Times New Roman"/>
              </w:rPr>
              <w:t xml:space="preserve"> терапии и других методов у пациентов, нуждающихся в медицинской реабилитации и санаторно-курортном лечении.</w:t>
            </w:r>
          </w:p>
        </w:tc>
      </w:tr>
    </w:tbl>
    <w:p w:rsidR="00C34E49" w:rsidRDefault="00C34E49" w:rsidP="00C34E49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C34E49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C34E49" w:rsidRPr="0097530F" w:rsidRDefault="00C34E49" w:rsidP="00C34E49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4E49" w:rsidRDefault="00C34E49" w:rsidP="00C34E49">
      <w:pPr>
        <w:pStyle w:val="a7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C34E49" w:rsidRPr="007B0FE4" w:rsidRDefault="00C34E49" w:rsidP="00C34E49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C34E49" w:rsidRPr="007B0FE4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C34E49" w:rsidRPr="007B0FE4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C34E49" w:rsidRPr="007B0FE4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C34E49" w:rsidRPr="00826821" w:rsidRDefault="00C34E49" w:rsidP="00C34E49">
      <w:pPr>
        <w:spacing w:after="0"/>
        <w:ind w:right="335" w:firstLine="550"/>
        <w:jc w:val="center"/>
        <w:rPr>
          <w:rFonts w:ascii="Times New Roman" w:hAnsi="Times New Roman"/>
          <w:sz w:val="24"/>
          <w:szCs w:val="24"/>
        </w:rPr>
      </w:pPr>
    </w:p>
    <w:p w:rsidR="00C34E49" w:rsidRPr="00D7328A" w:rsidRDefault="00C34E49" w:rsidP="00C34E49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C34E49" w:rsidRPr="00C2577E" w:rsidRDefault="00C34E49" w:rsidP="00C34E49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lastRenderedPageBreak/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C34E49" w:rsidRPr="000860CD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C34E49" w:rsidRPr="000860CD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C34E49" w:rsidRPr="000860CD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C34E49" w:rsidRPr="000860CD" w:rsidRDefault="00C34E49" w:rsidP="00C34E49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C34E49" w:rsidRPr="000860CD" w:rsidRDefault="00C34E49" w:rsidP="00C34E49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0860CD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0860CD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C34E49" w:rsidRPr="000860CD" w:rsidRDefault="00C34E49" w:rsidP="00C34E49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C34E49" w:rsidRPr="000860CD" w:rsidRDefault="00C34E49" w:rsidP="00C34E49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C34E49" w:rsidRPr="007B0FE4" w:rsidRDefault="00C34E49" w:rsidP="00C34E49">
      <w:pPr>
        <w:pStyle w:val="a3"/>
        <w:numPr>
          <w:ilvl w:val="0"/>
          <w:numId w:val="3"/>
        </w:numPr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C34E49" w:rsidRPr="000860CD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C34E49" w:rsidRPr="000860CD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0860CD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0860CD">
        <w:rPr>
          <w:rFonts w:ascii="Times New Roman" w:hAnsi="Times New Roman"/>
          <w:color w:val="000000"/>
          <w:sz w:val="28"/>
          <w:szCs w:val="28"/>
        </w:rPr>
        <w:t>;</w:t>
      </w:r>
    </w:p>
    <w:p w:rsidR="00C34E49" w:rsidRPr="000860CD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C34E49" w:rsidRPr="000860CD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C34E49" w:rsidRPr="000860CD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C34E49" w:rsidRPr="000860CD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C34E49" w:rsidRPr="00826821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E49" w:rsidRDefault="00C34E49" w:rsidP="00C34E49">
      <w:pPr>
        <w:spacing w:after="0" w:line="360" w:lineRule="auto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C34E49" w:rsidRPr="007B0FE4" w:rsidRDefault="00C34E49" w:rsidP="00C34E49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C34E49" w:rsidRPr="007B0FE4" w:rsidRDefault="00C34E49" w:rsidP="00C34E49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C34E49" w:rsidRPr="007B0FE4" w:rsidRDefault="00C34E49" w:rsidP="00C34E49">
      <w:pPr>
        <w:shd w:val="clear" w:color="auto" w:fill="FFFFFF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C34E49" w:rsidRPr="00DB5B16" w:rsidRDefault="00C34E49" w:rsidP="00C34E4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B5B16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B5B16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C34E49" w:rsidRPr="00DB5B16" w:rsidRDefault="00C34E49" w:rsidP="00C34E4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C34E49" w:rsidRPr="00DB5B16" w:rsidRDefault="00C34E49" w:rsidP="00C34E4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C34E49" w:rsidRPr="00DB5B16" w:rsidRDefault="00C34E49" w:rsidP="00C34E4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C34E49" w:rsidRPr="007B0FE4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C34E49" w:rsidRPr="007B0FE4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C34E49" w:rsidRPr="007B0FE4" w:rsidRDefault="00C34E49" w:rsidP="00C34E49">
      <w:pPr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, размещенным в электронной информационно-образовательной среде </w:t>
      </w:r>
      <w:proofErr w:type="spellStart"/>
      <w:r w:rsidRPr="007B0FE4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7B0FE4">
        <w:rPr>
          <w:rFonts w:ascii="Times New Roman" w:hAnsi="Times New Roman"/>
          <w:color w:val="000000"/>
          <w:sz w:val="28"/>
          <w:szCs w:val="28"/>
        </w:rPr>
        <w:t>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C34E49" w:rsidRPr="007B0FE4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C34E49" w:rsidRPr="00826821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E49" w:rsidRPr="00D7328A" w:rsidRDefault="00C34E49" w:rsidP="00C34E49">
      <w:pPr>
        <w:spacing w:after="0"/>
        <w:ind w:right="335" w:firstLine="55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C34E49" w:rsidRPr="00D7328A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C34E49" w:rsidRPr="00D7328A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;</w:t>
      </w:r>
    </w:p>
    <w:p w:rsidR="00C34E49" w:rsidRPr="008D552E" w:rsidRDefault="00C34E49" w:rsidP="00C34E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335" w:firstLine="55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7328A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7328A">
        <w:rPr>
          <w:rFonts w:ascii="Times New Roman" w:hAnsi="Times New Roman"/>
          <w:sz w:val="28"/>
          <w:szCs w:val="28"/>
        </w:rPr>
        <w:t>.</w:t>
      </w:r>
    </w:p>
    <w:p w:rsidR="00C34E49" w:rsidRPr="00826821" w:rsidRDefault="00C34E49" w:rsidP="00C34E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335" w:firstLine="550"/>
        <w:jc w:val="both"/>
        <w:rPr>
          <w:rFonts w:ascii="Times New Roman" w:hAnsi="Times New Roman"/>
          <w:sz w:val="24"/>
          <w:szCs w:val="24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C34E49" w:rsidRPr="004835C9" w:rsidRDefault="00C34E49" w:rsidP="00C34E49">
      <w:pPr>
        <w:spacing w:after="0"/>
        <w:ind w:right="335" w:firstLine="550"/>
        <w:jc w:val="center"/>
        <w:rPr>
          <w:rFonts w:ascii="Times New Roman" w:hAnsi="Times New Roman"/>
          <w:b/>
          <w:sz w:val="28"/>
          <w:szCs w:val="28"/>
        </w:rPr>
      </w:pPr>
      <w:r w:rsidRPr="004835C9">
        <w:rPr>
          <w:rFonts w:ascii="Times New Roman" w:hAnsi="Times New Roman"/>
          <w:b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C34E49" w:rsidRDefault="00C34E49" w:rsidP="00C34E49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34E49" w:rsidRDefault="00C34E49" w:rsidP="00C34E49">
      <w:pPr>
        <w:pStyle w:val="ac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Ind w:w="3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4E49" w:rsidRPr="008527B8" w:rsidTr="00A01983">
        <w:trPr>
          <w:tblCellSpacing w:w="15" w:type="dxa"/>
          <w:jc w:val="center"/>
        </w:trPr>
        <w:tc>
          <w:tcPr>
            <w:tcW w:w="10565" w:type="dxa"/>
            <w:vAlign w:val="center"/>
            <w:hideMark/>
          </w:tcPr>
          <w:tbl>
            <w:tblPr>
              <w:tblW w:w="4934" w:type="pct"/>
              <w:jc w:val="center"/>
              <w:tblCellSpacing w:w="15" w:type="dxa"/>
              <w:tblInd w:w="307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2"/>
            </w:tblGrid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267" w:type="dxa"/>
                  <w:shd w:val="clear" w:color="auto" w:fill="auto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Онкология [Электронный ресурс] / под общ</w:t>
                  </w:r>
                  <w:proofErr w:type="gram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ед. С. Б. </w:t>
                  </w:r>
                  <w:proofErr w:type="spell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Петерсона</w:t>
                  </w:r>
                  <w:proofErr w:type="spell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. - М.</w:t>
                  </w:r>
                  <w:proofErr w:type="gram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ГЭОТАР-Медиа</w:t>
                  </w:r>
                  <w:proofErr w:type="spell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, 2014. –</w:t>
                  </w:r>
                  <w:r w:rsidRPr="00267D76">
                    <w:t xml:space="preserve"> </w:t>
                  </w:r>
                  <w:hyperlink r:id="rId8" w:history="1">
                    <w:r w:rsidRPr="00267D76">
                      <w:rPr>
                        <w:rFonts w:ascii="Times New Roman" w:hAnsi="Times New Roman"/>
                        <w:sz w:val="28"/>
                        <w:szCs w:val="28"/>
                      </w:rPr>
                      <w:t>http://www.studentlibrary.ru/book/ISBN9785970433980.html</w:t>
                    </w:r>
                  </w:hyperlink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267" w:type="dxa"/>
                  <w:shd w:val="clear" w:color="auto" w:fill="auto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Лучевая диагностика и терапия. Общая лучевая диагностика [Электронный ресурс] Т. 1 / Терновой С. К. и др. - М.</w:t>
                  </w:r>
                  <w:proofErr w:type="gram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ГЭОТАР-Медиа</w:t>
                  </w:r>
                  <w:proofErr w:type="spell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, 2014. –</w:t>
                  </w:r>
                  <w:hyperlink r:id="rId9" w:history="1">
                    <w:r w:rsidRPr="00267D76">
                      <w:rPr>
                        <w:rFonts w:ascii="Times New Roman" w:hAnsi="Times New Roman"/>
                        <w:sz w:val="28"/>
                        <w:szCs w:val="28"/>
                      </w:rPr>
                      <w:t>http://www.studentlibrary.ru/book/ISBN9785970433980.html</w:t>
                    </w:r>
                  </w:hyperlink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267" w:type="dxa"/>
                  <w:shd w:val="clear" w:color="auto" w:fill="auto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Лучевая диагностика и терапия. Частная лучевая диагностика [Электронный ресурс] Т. 2 / Терновой С. К. и др. - М.</w:t>
                  </w:r>
                  <w:proofErr w:type="gram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>ГЭОТАР-Медиа</w:t>
                  </w:r>
                  <w:proofErr w:type="spellEnd"/>
                  <w:r w:rsidRPr="00BF7C85">
                    <w:rPr>
                      <w:rStyle w:val="hilight4"/>
                      <w:rFonts w:ascii="Times New Roman" w:hAnsi="Times New Roman"/>
                      <w:sz w:val="28"/>
                      <w:szCs w:val="28"/>
                    </w:rPr>
                    <w:t xml:space="preserve">, 2014. – </w:t>
                  </w:r>
                  <w:hyperlink r:id="rId10" w:history="1">
                    <w:r w:rsidRPr="00267D76">
                      <w:rPr>
                        <w:rFonts w:ascii="Times New Roman" w:hAnsi="Times New Roman"/>
                        <w:sz w:val="28"/>
                        <w:szCs w:val="28"/>
                      </w:rPr>
                      <w:t>http://www.studentlibrary.ru/book/ISBN9785970433980.html</w:t>
                    </w:r>
                  </w:hyperlink>
                </w:p>
              </w:tc>
            </w:tr>
          </w:tbl>
          <w:p w:rsidR="00C34E49" w:rsidRPr="008527B8" w:rsidRDefault="00C34E49" w:rsidP="00A019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C34E49" w:rsidRPr="008527B8" w:rsidTr="00A01983">
        <w:trPr>
          <w:tblCellSpacing w:w="15" w:type="dxa"/>
          <w:jc w:val="center"/>
        </w:trPr>
        <w:tc>
          <w:tcPr>
            <w:tcW w:w="10565" w:type="dxa"/>
            <w:vAlign w:val="center"/>
            <w:hideMark/>
          </w:tcPr>
          <w:p w:rsidR="00C34E49" w:rsidRPr="008527B8" w:rsidRDefault="00C34E49" w:rsidP="00A019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34E49" w:rsidRPr="00E60FDB" w:rsidRDefault="00C34E49" w:rsidP="00C34E4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34E49" w:rsidRDefault="00C34E49" w:rsidP="00C34E49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60FDB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Pr="008624C9">
        <w:rPr>
          <w:rFonts w:ascii="Times New Roman" w:hAnsi="Times New Roman"/>
          <w:b/>
          <w:sz w:val="28"/>
          <w:szCs w:val="28"/>
        </w:rPr>
        <w:t>:</w:t>
      </w:r>
    </w:p>
    <w:p w:rsidR="00C34E49" w:rsidRPr="00E60FDB" w:rsidRDefault="00C34E49" w:rsidP="00C34E49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114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C34E49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4902" w:type="pct"/>
              <w:jc w:val="center"/>
              <w:tblCellSpacing w:w="15" w:type="dxa"/>
              <w:tblInd w:w="3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2"/>
            </w:tblGrid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tbl>
                  <w:tblPr>
                    <w:tblW w:w="4934" w:type="pct"/>
                    <w:jc w:val="center"/>
                    <w:tblCellSpacing w:w="15" w:type="dxa"/>
                    <w:tblInd w:w="3078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69"/>
                  </w:tblGrid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1.</w:t>
                        </w:r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Амбулаторно-поликлиническая </w:t>
                        </w:r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онкология</w:t>
                        </w:r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[Электронный ресурс] / Ш.Х. Ганцев, В.В. </w:t>
                        </w:r>
                        <w:proofErr w:type="spellStart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Старинский</w:t>
                        </w:r>
                        <w:proofErr w:type="spellEnd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И.Р. Рахматуллина, Л.Н. Кудряшова, Р.З. Султанов, Д.Д. </w:t>
                        </w:r>
                        <w:proofErr w:type="spellStart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Сакаева</w:t>
                        </w:r>
                        <w:proofErr w:type="spellEnd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BF7C85">
                          <w:rPr>
                            <w:rStyle w:val="value8"/>
                            <w:rFonts w:ascii="Times New Roman" w:hAnsi="Times New Roman"/>
                            <w:sz w:val="28"/>
                            <w:szCs w:val="28"/>
                          </w:rPr>
                          <w:t xml:space="preserve">, 2014. – </w:t>
                        </w:r>
                        <w:hyperlink r:id="rId11" w:history="1">
                          <w:r w:rsidRPr="00267D76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http://www.studentlibrary.ru/book/ISBN9785970433980.html</w:t>
                          </w:r>
                        </w:hyperlink>
                      </w:p>
                    </w:tc>
                  </w:tr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2.</w:t>
                        </w:r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Клиническая онкология. Избранные лекции [Электронный ресурс] / Л.З. </w:t>
                        </w:r>
                        <w:proofErr w:type="spell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Вельшер</w:t>
                        </w:r>
                        <w:proofErr w:type="spell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Б.И. Поляков, С.Б. </w:t>
                        </w:r>
                        <w:proofErr w:type="spell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Петерсон</w:t>
                        </w:r>
                        <w:proofErr w:type="spell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М.</w:t>
                        </w:r>
                        <w:proofErr w:type="gram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, 2014. – </w:t>
                        </w:r>
                        <w:hyperlink r:id="rId12" w:history="1">
                          <w:r w:rsidRPr="00267D76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http://www.studentlibrary.ru/book/ISBN9785970433980.html</w:t>
                          </w:r>
                        </w:hyperlink>
                      </w:p>
                    </w:tc>
                  </w:tr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3.</w:t>
                        </w:r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Онкология [Электронный ресурс]</w:t>
                        </w:r>
                        <w:proofErr w:type="gram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национальное руководство / под ред. В.И. </w:t>
                        </w:r>
                        <w:proofErr w:type="spell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Чиссова</w:t>
                        </w:r>
                        <w:proofErr w:type="spell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, М.И. Давыдова. - Краткое издание. - М.</w:t>
                        </w:r>
                        <w:proofErr w:type="gram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BF7C85">
                          <w:rPr>
                            <w:rStyle w:val="hilight4"/>
                            <w:rFonts w:ascii="Times New Roman" w:hAnsi="Times New Roman"/>
                            <w:sz w:val="28"/>
                            <w:szCs w:val="28"/>
                          </w:rPr>
                          <w:t xml:space="preserve">, 2014. – </w:t>
                        </w:r>
                        <w:hyperlink r:id="rId13" w:history="1">
                          <w:r w:rsidRPr="00267D76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http://www.studentlibrary.ru/book/ISBN9785970433980.html</w:t>
                          </w:r>
                        </w:hyperlink>
                      </w:p>
                    </w:tc>
                  </w:tr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4.</w:t>
                        </w:r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Сперанский Д. Л. Рак молочной железы: вопросы диагностики и лечения [Текст] : учеб</w:t>
                        </w:r>
                        <w:proofErr w:type="gram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особие / Сперанский Д. Л.,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Ненарокомов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А. Ю. ; ГБОУ ВПО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ВолгГМУ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Минздрава РФ, Каф. онкологии с кур. онкологии и гематологии ФУВ. - Волгоград</w:t>
                        </w:r>
                        <w:proofErr w:type="gram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ПринТерра-Дизайн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2015. - 114, [2] с.</w:t>
                        </w:r>
                        <w:proofErr w:type="gram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ил</w:t>
                        </w:r>
                      </w:p>
                    </w:tc>
                  </w:tr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5.</w:t>
                        </w:r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Куликов Е. П.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Непальпируемые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опухоли молочных желез [Электронный ресурс] / Е. П. Куликов, А. П.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Загадаев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BF7C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2015. – </w:t>
                        </w:r>
                        <w:hyperlink r:id="rId14" w:history="1">
                          <w:r w:rsidRPr="00267D76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http://www.studentlibrary.ru/book/ISBN9785970433980.html</w:t>
                          </w:r>
                        </w:hyperlink>
                      </w:p>
                    </w:tc>
                  </w:tr>
                  <w:tr w:rsidR="00C34E49" w:rsidRPr="00BF7C85" w:rsidTr="00A01983">
                    <w:trPr>
                      <w:tblCellSpacing w:w="15" w:type="dxa"/>
                      <w:jc w:val="center"/>
                    </w:trPr>
                    <w:tc>
                      <w:tcPr>
                        <w:tcW w:w="10267" w:type="dxa"/>
                        <w:vAlign w:val="center"/>
                        <w:hideMark/>
                      </w:tcPr>
                      <w:p w:rsidR="00C34E49" w:rsidRPr="00BF7C85" w:rsidRDefault="00C34E49" w:rsidP="00A0198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6.</w:t>
                        </w:r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Онкология. Тесты с элементами визуализации : учеб</w:t>
                        </w:r>
                        <w:proofErr w:type="gramStart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особие / В. Г. Черенков. - М.</w:t>
                        </w:r>
                        <w:proofErr w:type="gramStart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ГЭОТАР-Медиа</w:t>
                        </w:r>
                        <w:proofErr w:type="spellEnd"/>
                        <w:r w:rsidRPr="00267D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2017. - 240 с. : ил. - </w:t>
                        </w:r>
                        <w:hyperlink r:id="rId15" w:history="1">
                          <w:r w:rsidRPr="00267D76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http://www.studentlibrary.ru/book/ISBN9785970433980.html</w:t>
                          </w:r>
                        </w:hyperlink>
                      </w:p>
                    </w:tc>
                  </w:tr>
                </w:tbl>
                <w:p w:rsidR="00C34E49" w:rsidRPr="005C1C12" w:rsidRDefault="00C34E49" w:rsidP="00C34E4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4E49" w:rsidRPr="00411BD4" w:rsidRDefault="00C34E49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34E49" w:rsidRPr="00411BD4" w:rsidRDefault="00C34E49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cyan"/>
                    </w:rPr>
                  </w:pPr>
                </w:p>
              </w:tc>
            </w:tr>
            <w:tr w:rsidR="00C34E49" w:rsidRPr="00BF7C85" w:rsidTr="00A01983">
              <w:trPr>
                <w:tblCellSpacing w:w="15" w:type="dxa"/>
                <w:jc w:val="center"/>
              </w:trPr>
              <w:tc>
                <w:tcPr>
                  <w:tcW w:w="10171" w:type="dxa"/>
                  <w:vAlign w:val="center"/>
                  <w:hideMark/>
                </w:tcPr>
                <w:p w:rsidR="00C34E49" w:rsidRPr="00BF7C85" w:rsidRDefault="00C34E49" w:rsidP="00A019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highlight w:val="cyan"/>
                    </w:rPr>
                  </w:pPr>
                </w:p>
              </w:tc>
            </w:tr>
          </w:tbl>
          <w:p w:rsidR="00C34E49" w:rsidRPr="00531384" w:rsidRDefault="00C34E49" w:rsidP="00A01983">
            <w:pPr>
              <w:widowControl w:val="0"/>
              <w:spacing w:before="100" w:beforeAutospacing="1" w:afterAutospacing="1" w:line="360" w:lineRule="auto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531384">
              <w:rPr>
                <w:rFonts w:ascii="Times New Roman" w:hAnsi="Times New Roman"/>
                <w:b/>
                <w:iCs/>
                <w:sz w:val="28"/>
              </w:rPr>
              <w:lastRenderedPageBreak/>
              <w:t>Программное обеспечение и Интернет-ресурсы:</w:t>
            </w:r>
          </w:p>
          <w:p w:rsidR="00C34E49" w:rsidRPr="00F57509" w:rsidRDefault="00C34E49" w:rsidP="00A01983">
            <w:pPr>
              <w:pStyle w:val="aa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Эле</w:t>
            </w:r>
            <w:r w:rsidRPr="00B50AA5">
              <w:rPr>
                <w:rFonts w:ascii="Times New Roman" w:hAnsi="Times New Roman"/>
                <w:iCs/>
                <w:sz w:val="28"/>
              </w:rPr>
              <w:t>ктронные ресурсы: базы данных, информационно-справочные и поисковые системы - Интернет ресурсы, отвечающие тематике дисциплины, в том числе: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48"/>
              <w:gridCol w:w="3024"/>
            </w:tblGrid>
            <w:tr w:rsidR="00C34E49" w:rsidRPr="00C63188" w:rsidTr="00A01983">
              <w:trPr>
                <w:trHeight w:val="550"/>
                <w:tblHeader/>
              </w:trPr>
              <w:tc>
                <w:tcPr>
                  <w:tcW w:w="6348" w:type="dxa"/>
                  <w:shd w:val="clear" w:color="auto" w:fill="auto"/>
                  <w:vAlign w:val="center"/>
                </w:tcPr>
                <w:p w:rsidR="00C34E49" w:rsidRPr="00C63188" w:rsidRDefault="00C34E49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Ссылка на информационный ресурс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34E49" w:rsidRPr="00C63188" w:rsidRDefault="00C34E49" w:rsidP="00A019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188">
                    <w:rPr>
                      <w:rFonts w:ascii="Times New Roman" w:hAnsi="Times New Roman"/>
                      <w:sz w:val="24"/>
                      <w:szCs w:val="24"/>
                    </w:rPr>
                    <w:t>Доступность</w:t>
                  </w:r>
                </w:p>
              </w:tc>
            </w:tr>
            <w:tr w:rsidR="00C34E49" w:rsidRPr="00C65E43" w:rsidTr="00A01983">
              <w:trPr>
                <w:trHeight w:val="289"/>
              </w:trPr>
              <w:tc>
                <w:tcPr>
                  <w:tcW w:w="6348" w:type="dxa"/>
                  <w:shd w:val="clear" w:color="auto" w:fill="auto"/>
                </w:tcPr>
                <w:p w:rsidR="00C34E49" w:rsidRPr="00A86BC5" w:rsidRDefault="001B5DE2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6" w:history="1"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</w:t>
                    </w:r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lib</w:t>
                    </w:r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volgmed</w:t>
                    </w:r>
                    <w:proofErr w:type="spellEnd"/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.</w:t>
                    </w:r>
                    <w:proofErr w:type="spellStart"/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34E49" w:rsidRPr="00214CBE" w:rsidRDefault="00C34E49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34E49" w:rsidRPr="00C65E43" w:rsidTr="00A01983">
              <w:trPr>
                <w:trHeight w:val="268"/>
              </w:trPr>
              <w:tc>
                <w:tcPr>
                  <w:tcW w:w="6348" w:type="dxa"/>
                  <w:shd w:val="clear" w:color="auto" w:fill="auto"/>
                </w:tcPr>
                <w:p w:rsidR="00C34E49" w:rsidRPr="00A86BC5" w:rsidRDefault="001B5DE2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7" w:history="1"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34E49" w:rsidRPr="00214CBE" w:rsidRDefault="00C34E49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34E49" w:rsidRPr="00C65E43" w:rsidTr="00A01983">
              <w:trPr>
                <w:trHeight w:val="215"/>
              </w:trPr>
              <w:tc>
                <w:tcPr>
                  <w:tcW w:w="6348" w:type="dxa"/>
                  <w:shd w:val="clear" w:color="auto" w:fill="auto"/>
                </w:tcPr>
                <w:p w:rsidR="00C34E49" w:rsidRPr="00A86BC5" w:rsidRDefault="001B5DE2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8" w:history="1"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http://www.scopus.com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34E49" w:rsidRPr="00214CBE" w:rsidRDefault="00C34E49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34E49" w:rsidRPr="00C65E43" w:rsidTr="00A01983">
              <w:trPr>
                <w:trHeight w:val="319"/>
              </w:trPr>
              <w:tc>
                <w:tcPr>
                  <w:tcW w:w="6348" w:type="dxa"/>
                  <w:shd w:val="clear" w:color="auto" w:fill="auto"/>
                </w:tcPr>
                <w:p w:rsidR="00C34E49" w:rsidRPr="00A86BC5" w:rsidRDefault="001B5DE2" w:rsidP="00A01983">
                  <w:pPr>
                    <w:pStyle w:val="aa"/>
                    <w:widowControl w:val="0"/>
                    <w:spacing w:after="0" w:line="240" w:lineRule="auto"/>
                    <w:rPr>
                      <w:rStyle w:val="a9"/>
                      <w:rFonts w:ascii="Times New Roman" w:hAnsi="Times New Roman"/>
                      <w:iCs/>
                      <w:sz w:val="28"/>
                    </w:rPr>
                  </w:pPr>
                  <w:hyperlink r:id="rId19" w:history="1"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http://www.studentlibrary.ru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34E49" w:rsidRPr="00214CBE" w:rsidRDefault="00C34E49" w:rsidP="00A0198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  <w:tr w:rsidR="00C34E49" w:rsidRPr="00C65E43" w:rsidTr="00A01983">
              <w:trPr>
                <w:trHeight w:val="410"/>
              </w:trPr>
              <w:tc>
                <w:tcPr>
                  <w:tcW w:w="6348" w:type="dxa"/>
                  <w:shd w:val="clear" w:color="auto" w:fill="auto"/>
                </w:tcPr>
                <w:p w:rsidR="00C34E49" w:rsidRDefault="001B5DE2" w:rsidP="00A01983">
                  <w:pPr>
                    <w:pStyle w:val="aa"/>
                    <w:widowControl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</w:rPr>
                  </w:pPr>
                  <w:hyperlink r:id="rId20" w:history="1">
                    <w:r w:rsidR="00C34E49" w:rsidRPr="00290AA8">
                      <w:rPr>
                        <w:rStyle w:val="a9"/>
                        <w:rFonts w:ascii="Times New Roman" w:hAnsi="Times New Roman"/>
                        <w:iCs/>
                        <w:sz w:val="28"/>
                      </w:rPr>
                      <w:t>http://e.lanbook.com</w:t>
                    </w:r>
                  </w:hyperlink>
                </w:p>
              </w:tc>
              <w:tc>
                <w:tcPr>
                  <w:tcW w:w="3024" w:type="dxa"/>
                  <w:shd w:val="clear" w:color="auto" w:fill="auto"/>
                </w:tcPr>
                <w:p w:rsidR="00C34E49" w:rsidRPr="00214CBE" w:rsidRDefault="00C34E49" w:rsidP="00A019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4CBE">
                    <w:rPr>
                      <w:rFonts w:ascii="Times New Roman" w:hAnsi="Times New Roman"/>
                      <w:sz w:val="24"/>
                      <w:szCs w:val="24"/>
                    </w:rPr>
                    <w:t>Свободный доступ</w:t>
                  </w:r>
                </w:p>
              </w:tc>
            </w:tr>
          </w:tbl>
          <w:p w:rsidR="00C34E49" w:rsidRPr="00D7328A" w:rsidRDefault="00C34E49" w:rsidP="00A01983">
            <w:pPr>
              <w:widowControl w:val="0"/>
              <w:shd w:val="clear" w:color="auto" w:fill="FFFFFF"/>
              <w:spacing w:after="0" w:line="360" w:lineRule="auto"/>
              <w:ind w:right="33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E49" w:rsidRPr="005C1C12" w:rsidRDefault="00C34E49" w:rsidP="00A0198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E49" w:rsidRPr="0089352D" w:rsidRDefault="00C34E49" w:rsidP="00A01983">
            <w:pPr>
              <w:pStyle w:val="a7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C070D6" w:rsidRDefault="00C34E49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DA6C17" w:rsidRDefault="00C34E49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5F5DBB" w:rsidTr="00A01983">
        <w:trPr>
          <w:trHeight w:val="1456"/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DA6C17" w:rsidRDefault="00C34E49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C070D6" w:rsidRDefault="00C34E49" w:rsidP="00A019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0C4EAA" w:rsidRDefault="00C34E49" w:rsidP="00A01983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C070D6" w:rsidRDefault="00C34E49" w:rsidP="00A01983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E49" w:rsidRPr="0089352D" w:rsidTr="00A01983">
        <w:trPr>
          <w:tblCellSpacing w:w="15" w:type="dxa"/>
        </w:trPr>
        <w:tc>
          <w:tcPr>
            <w:tcW w:w="9600" w:type="dxa"/>
            <w:shd w:val="clear" w:color="auto" w:fill="auto"/>
            <w:vAlign w:val="center"/>
          </w:tcPr>
          <w:p w:rsidR="00C34E49" w:rsidRPr="0089352D" w:rsidRDefault="00C34E49" w:rsidP="00A019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E49" w:rsidRDefault="00C34E49" w:rsidP="00C34E49">
      <w:pPr>
        <w:pStyle w:val="aa"/>
        <w:widowControl w:val="0"/>
        <w:spacing w:after="0" w:line="360" w:lineRule="auto"/>
        <w:ind w:left="0"/>
        <w:jc w:val="both"/>
      </w:pPr>
    </w:p>
    <w:p w:rsidR="00032A7A" w:rsidRDefault="005E4B7D"/>
    <w:sectPr w:rsidR="00032A7A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7D" w:rsidRDefault="005E4B7D" w:rsidP="001B5DE2">
      <w:pPr>
        <w:spacing w:after="0" w:line="240" w:lineRule="auto"/>
      </w:pPr>
      <w:r>
        <w:separator/>
      </w:r>
    </w:p>
  </w:endnote>
  <w:endnote w:type="continuationSeparator" w:id="0">
    <w:p w:rsidR="005E4B7D" w:rsidRDefault="005E4B7D" w:rsidP="001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00" w:rsidRPr="00057196" w:rsidRDefault="001B5DE2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FF415B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3F31AD">
      <w:rPr>
        <w:rFonts w:ascii="Times New Roman" w:hAnsi="Times New Roman"/>
        <w:noProof/>
        <w:sz w:val="24"/>
      </w:rPr>
      <w:t>5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7D" w:rsidRDefault="005E4B7D" w:rsidP="001B5DE2">
      <w:pPr>
        <w:spacing w:after="0" w:line="240" w:lineRule="auto"/>
      </w:pPr>
      <w:r>
        <w:separator/>
      </w:r>
    </w:p>
  </w:footnote>
  <w:footnote w:type="continuationSeparator" w:id="0">
    <w:p w:rsidR="005E4B7D" w:rsidRDefault="005E4B7D" w:rsidP="001B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49"/>
    <w:rsid w:val="001B5DE2"/>
    <w:rsid w:val="002C0341"/>
    <w:rsid w:val="003F31AD"/>
    <w:rsid w:val="005E4B7D"/>
    <w:rsid w:val="00846046"/>
    <w:rsid w:val="00C22899"/>
    <w:rsid w:val="00C34E49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9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34E49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34E49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C34E49"/>
    <w:pPr>
      <w:spacing w:after="160" w:line="259" w:lineRule="auto"/>
      <w:ind w:left="720"/>
      <w:contextualSpacing/>
    </w:pPr>
  </w:style>
  <w:style w:type="paragraph" w:styleId="a5">
    <w:name w:val="footer"/>
    <w:basedOn w:val="a"/>
    <w:link w:val="a6"/>
    <w:uiPriority w:val="99"/>
    <w:rsid w:val="00C3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E49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C34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C34E49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C34E4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9">
    <w:name w:val="Hyperlink"/>
    <w:uiPriority w:val="99"/>
    <w:rsid w:val="00C34E49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C34E49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C34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34E49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rsid w:val="00C34E4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34E4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light4">
    <w:name w:val="hilight4"/>
    <w:basedOn w:val="a0"/>
    <w:rsid w:val="00C34E49"/>
  </w:style>
  <w:style w:type="character" w:customStyle="1" w:styleId="value8">
    <w:name w:val="value8"/>
    <w:basedOn w:val="a0"/>
    <w:rsid w:val="00C34E4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980.html" TargetMode="External"/><Relationship Id="rId13" Type="http://schemas.openxmlformats.org/officeDocument/2006/relationships/hyperlink" Target="http://www.studentlibrary.ru/book/ISBN9785970433980.html" TargetMode="External"/><Relationship Id="rId18" Type="http://schemas.openxmlformats.org/officeDocument/2006/relationships/hyperlink" Target="http://www.scopu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book/ISBN9785970433980.html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volgmed.ru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98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0433980.html" TargetMode="External"/><Relationship Id="rId10" Type="http://schemas.openxmlformats.org/officeDocument/2006/relationships/hyperlink" Target="http://www.studentlibrary.ru/book/ISBN9785970433980.html" TargetMode="External"/><Relationship Id="rId19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980.html" TargetMode="External"/><Relationship Id="rId14" Type="http://schemas.openxmlformats.org/officeDocument/2006/relationships/hyperlink" Target="http://www.studentlibrary.ru/book/ISBN978597043398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2892</Words>
  <Characters>16488</Characters>
  <Application>Microsoft Office Word</Application>
  <DocSecurity>0</DocSecurity>
  <Lines>137</Lines>
  <Paragraphs>38</Paragraphs>
  <ScaleCrop>false</ScaleCrop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2</cp:revision>
  <dcterms:created xsi:type="dcterms:W3CDTF">2023-04-03T09:11:00Z</dcterms:created>
  <dcterms:modified xsi:type="dcterms:W3CDTF">2023-04-03T09:41:00Z</dcterms:modified>
</cp:coreProperties>
</file>